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68.4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Συναλλάγματος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Σε Ξένο Νόμισμα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της ΕΕ αριθ. 1286/2014 για τυποποιημένα δικαιώματα προαίρεσης σε συνάλλαγμα ("FX")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p>
    <w:p>
      <w:pPr>
        <w:spacing w:after="0" w:line="70" w:lineRule="exact"/>
        <w:rPr>
          <w:sz w:val="24"/>
          <w:szCs w:val="24"/>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77"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τυποποιημένα δικαιώματα προαίρεσης επί συναλλάγματος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συναλλάγματος είναι το δικαίωμα αγοράς ή πώλησης ενός νομίσματος («υποκείμενο νόμισμα») σε μια καθορισμένη τιμή («τιμή άσκησης») εκφρασμένη σε άλλο νόμισμα («νόμισμα διαπραγμάτευσης»), που αντιπροσωπεύει τη «συναλλαγματική ισοτιμία» μεταξύ των νομισμάτων, ασκώντας το δικαίωμα προαίρεσης πριν από τη λήξη.</w:t>
      </w:r>
      <w:r>
        <w:rPr xmlns:w="http://schemas.openxmlformats.org/wordprocessingml/2006/main">
          <w:rFonts w:ascii="Calibri" w:cs="Calibri" w:eastAsia="Calibri" w:hAnsi="Calibri"/>
          <w:sz w:val="22"/>
          <w:szCs w:val="22"/>
          <w:color w:val="auto"/>
        </w:rPr>
        <w:t xml:space="preserve"> Το άνοιγμα στο υποκείμενο νόμισμα είναι επομένως έμμεσο, επειδή η αξία του δικαιώματος προαίρεσης προκύπτει από την αξία του υποκείμενου νομίσματος.</w:t>
      </w:r>
      <w:r>
        <w:rPr xmlns:w="http://schemas.openxmlformats.org/wordprocessingml/2006/main">
          <w:rFonts w:ascii="Calibri" w:cs="Calibri" w:eastAsia="Calibri" w:hAnsi="Calibri"/>
          <w:sz w:val="22"/>
          <w:szCs w:val="22"/>
          <w:color w:val="auto"/>
        </w:rPr>
        <w:t xml:space="preserve"> Οι ημερομηνίες λήξης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ενέργεια του εκδότη συναλλάγματος μπορεί να οδηγήσει σε αλλαγή των όρων του δικαιώματος προαίρεσης σύμφωνα με τους κανόνες του OCC, οι οποίοι μπορεί να διαφέρουν από τη μεθοδολογία στις ευρωπαϊκές αγορές.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μια άσκηση - να εκτελεί σύμφωνα με τους όρους αγοράς ή πώλησης του υποκείμενου νομίσματος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αμερικανικό δικαίωμα προαίρεσης μπορεί να ασκηθεί από έναν κάτοχο οποιαδήποτε στιγμή πριν από τη λήξη, ενώ ένα ευρωπαϊκό δικαίωμα προαίρεσης μπορεί να ασκηθεί μόνο κατά τη διάρκεια μιας καθορισμένης περιόδου πριν από τη λήξη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διακανονίζονται συνήθως με φυσική μορφή,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λήψης (κλήσης) ή πραγματοποίησης (πώλησης) της φυσικής παράδοσης του υποκείμενου μέσου κατά την άσκηση.</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καταβολή μετρητών, αν η προσδιοριζόμενη αξία του υποκείμενου μέσου κατά την άσκηση υπερβαίνει (call) ή είναι μικρότερη (put) από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των υποκείμενων νομισμάτων και των νομισμάτων διαπραγμάτευσης και την ευαισθησία τους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3036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3036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20" w:hanging="214"/>
        <w:spacing w:after="0" w:line="22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αγοράς ή πώλησης του υποκείμενου δικαιώματος προαίρεσης οποιαδήποτε στιγμή κατά την οποία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Ο δικαιοπάροχος που δεν κατέχει το υποκείμενο νόμισμα (ακάλυπτη κλήση) αναλαμβάνει τον κίνδυνο απεριόριστης ζημίας.</w:t>
      </w:r>
      <w:r>
        <w:rPr xmlns:w="http://schemas.openxmlformats.org/wordprocessingml/2006/main">
          <w:rFonts w:ascii="Calibri" w:cs="Calibri" w:eastAsia="Calibri" w:hAnsi="Calibri"/>
          <w:sz w:val="22"/>
          <w:szCs w:val="22"/>
          <w:color w:val="auto"/>
        </w:rPr>
        <w:t xml:space="preserve"> Ένας συγγραφέας δικαιωμάτων πώλησης μπορεί να χάσει τη διαφορά μεταξύ της τιμής άσκησης και του μηδενός.</w:t>
      </w:r>
      <w:r>
        <w:rPr xmlns:w="http://schemas.openxmlformats.org/wordprocessingml/2006/main">
          <w:rFonts w:ascii="Calibri" w:cs="Calibri" w:eastAsia="Calibri" w:hAnsi="Calibri"/>
          <w:sz w:val="22"/>
          <w:szCs w:val="22"/>
          <w:color w:val="auto"/>
        </w:rPr>
        <w:t xml:space="preserve"> Συσκευές εγγραφής των ακάλυπτων κλήσεων και μεταθέτει το περιθώριο (που περιγράφεται κατωτέρω) με τον μεσίτη τους, γεγονός που δημιουργεί πρόσθετο κίνδυνο.</w:t>
      </w:r>
    </w:p>
    <w:p>
      <w:pPr>
        <w:spacing w:after="0" w:line="83"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νόμισμα για ένα δικαίωμα προαίρεσης που διακανονίζεται με φυσική παράδοση δεν είναι διαθέσιμο, οι κανόνες του OCC ενδέχεται να απαιτούν εναλλακτική μορφή διακανονισμού, όπως διακανονισμό σε μετρητά.</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Η αξία των υποκείμενων νομισμάτων και των νομισμάτων διαπραγμάτευσης μπορεί να επηρεαστεί από σύνθετες διακυμάνσεις</w:t>
      </w:r>
    </w:p>
    <w:p>
      <w:pPr>
        <w:spacing w:after="0" w:line="78" w:lineRule="exact"/>
        <w:rPr>
          <w:sz w:val="20"/>
          <w:szCs w:val="20"/>
          <w:color w:val="auto"/>
        </w:rPr>
      </w:pPr>
    </w:p>
    <w:p>
      <w:pPr xmlns:w="http://schemas.openxmlformats.org/wordprocessingml/2006/main">
        <w:jc w:val="center"/>
        <w:ind w:right="140"/>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πολιτικοί και οικονομικοί παράγοντες.</w:t>
      </w:r>
      <w:r>
        <w:rPr xmlns:w="http://schemas.openxmlformats.org/wordprocessingml/2006/main">
          <w:rFonts w:ascii="Calibri" w:cs="Calibri" w:eastAsia="Calibri" w:hAnsi="Calibri"/>
          <w:sz w:val="22"/>
          <w:szCs w:val="22"/>
          <w:b w:val="1"/>
          <w:bCs w:val="1"/>
          <w:color w:val="auto"/>
        </w:rPr>
        <w:t xml:space="preserve"> Επιπλέον, οι πληρωμές σε μετρητά θα διακανονιστούν σε δολάρια ΗΠΑ, και έτσι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r>
        <w:rPr xmlns:w="http://schemas.openxmlformats.org/wordprocessingml/2006/main">
          <w:rFonts w:ascii="Calibri" w:cs="Calibri" w:eastAsia="Calibri" w:hAnsi="Calibri"/>
          <w:sz w:val="22"/>
          <w:szCs w:val="22"/>
          <w:b w:val="1"/>
          <w:bCs w:val="1"/>
          <w:color w:val="auto"/>
        </w:rPr>
        <w:t xml:space="preserve"> 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μπορεί να επηρεάσει την αξία μιας συναλλαγής και τη θέση του δικαιώματος προαίρεσης.)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16510</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pt" to="515.65pt,1.3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13335</wp:posOffset>
                </wp:positionV>
                <wp:extent cx="0" cy="221297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05pt" to="0.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4147185</wp:posOffset>
                </wp:positionH>
                <wp:positionV relativeFrom="paragraph">
                  <wp:posOffset>13335</wp:posOffset>
                </wp:positionV>
                <wp:extent cx="0" cy="221297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26.55pt,1.05pt" to="326.5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13335</wp:posOffset>
                </wp:positionV>
                <wp:extent cx="0" cy="221297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05pt" to="515.4pt,175.3pt" o:allowincell="f" strokecolor="#000000" strokeweight="0.4799pt"/>
            </w:pict>
          </mc:Fallback>
        </mc:AlternateContent>
      </w:r>
    </w:p>
    <w:p>
      <w:pPr>
        <w:sectPr>
          <w:pgSz w:w="12240" w:h="15840" w:orient="portrait"/>
          <w:cols w:equalWidth="0" w:num="1">
            <w:col w:w="10320"/>
          </w:cols>
          <w:pgMar w:left="940" w:top="634" w:right="980" w:bottom="128" w:gutter="0" w:footer="0" w:header="0"/>
        </w:sectPr>
      </w:pPr>
    </w:p>
    <w:p>
      <w:pPr>
        <w:spacing w:after="0" w:line="164" w:lineRule="exact"/>
        <w:rPr>
          <w:sz w:val="20"/>
          <w:szCs w:val="20"/>
          <w:color w:val="auto"/>
        </w:rPr>
      </w:pPr>
    </w:p>
    <w:p>
      <w:pPr xmlns:w="http://schemas.openxmlformats.org/wordprocessingml/2006/main">
        <w:jc w:val="center"/>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τη σύνταξη ενός FX Put (Premium $400*;</w:t>
      </w:r>
      <w:r>
        <w:rPr xmlns:w="http://schemas.openxmlformats.org/wordprocessingml/2006/main">
          <w:rFonts w:ascii="Calibri" w:cs="Calibri" w:eastAsia="Calibri" w:hAnsi="Calibri"/>
          <w:sz w:val="16"/>
          <w:szCs w:val="16"/>
          <w:color w:val="595959"/>
        </w:rPr>
        <w:t xml:space="preserve"> Τιμή άσκησης (1.30)</w:t>
      </w:r>
    </w:p>
    <w:p>
      <w:pPr>
        <w:spacing w:after="0" w:line="130" w:lineRule="exact"/>
        <w:rPr>
          <w:sz w:val="20"/>
          <w:szCs w:val="20"/>
          <w:color w:val="auto"/>
        </w:rPr>
      </w:pPr>
    </w:p>
    <w:tbl>
      <w:tblPr>
        <w:tblLayout w:type="fixed"/>
        <w:tblInd w:w="400" w:type="dxa"/>
        <w:tblCellMar>
          <w:top w:w="0" w:type="dxa"/>
          <w:left w:w="0" w:type="dxa"/>
          <w:bottom w:w="0" w:type="dxa"/>
          <w:right w:w="0" w:type="dxa"/>
        </w:tblCellMar>
      </w:tblPr>
      <w:tr>
        <w:trPr>
          <w:trHeight w:val="220"/>
        </w:trPr>
        <w:tc>
          <w:tcPr>
            <w:tcW w:w="180" w:type="dxa"/>
            <w:vAlign w:val="bottom"/>
          </w:tcPr>
          <w:p>
            <w:pPr>
              <w:spacing w:after="0"/>
              <w:rPr>
                <w:sz w:val="19"/>
                <w:szCs w:val="19"/>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600</w:t>
            </w: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0" w:type="dxa"/>
            <w:vAlign w:val="bottom"/>
          </w:tcPr>
          <w:p>
            <w:pPr>
              <w:spacing w:after="0"/>
              <w:rPr>
                <w:sz w:val="1"/>
                <w:szCs w:val="1"/>
                <w:color w:val="auto"/>
              </w:rPr>
            </w:pPr>
          </w:p>
        </w:tc>
      </w:tr>
      <w:tr>
        <w:trPr>
          <w:trHeight w:val="259"/>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*Α/Μ</w:t>
            </w: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0" w:type="dxa"/>
            <w:vAlign w:val="bottom"/>
          </w:tcPr>
          <w:p>
            <w:pPr>
              <w:spacing w:after="0"/>
              <w:rPr>
                <w:sz w:val="1"/>
                <w:szCs w:val="1"/>
                <w:color w:val="auto"/>
              </w:rPr>
            </w:pPr>
          </w:p>
        </w:tc>
      </w:tr>
      <w:tr>
        <w:trPr>
          <w:trHeight w:val="196"/>
        </w:trPr>
        <w:tc>
          <w:tcPr>
            <w:tcW w:w="180" w:type="dxa"/>
            <w:vAlign w:val="bottom"/>
            <w:vMerge w:val="continue"/>
          </w:tcPr>
          <w:p>
            <w:pPr>
              <w:spacing w:after="0"/>
              <w:rPr>
                <w:sz w:val="17"/>
                <w:szCs w:val="17"/>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66"/>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707390</wp:posOffset>
            </wp:positionH>
            <wp:positionV relativeFrom="paragraph">
              <wp:posOffset>-880745</wp:posOffset>
            </wp:positionV>
            <wp:extent cx="3136900" cy="833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3136900" cy="833755"/>
                    </a:xfrm>
                    <a:prstGeom prst="rect">
                      <a:avLst/>
                    </a:prstGeom>
                    <a:noFill/>
                  </pic:spPr>
                </pic:pic>
              </a:graphicData>
            </a:graphic>
          </wp:anchor>
        </w:drawing>
      </w:r>
    </w:p>
    <w:p>
      <w:pPr xmlns:w="http://schemas.openxmlformats.org/wordprocessingml/2006/main">
        <w:jc w:val="right"/>
        <w:spacing w:after="0"/>
        <w:tabs>
          <w:tab w:leader="none" w:pos="4400" w:val="left"/>
          <w:tab w:leader="none" w:pos="3580" w:val="left"/>
          <w:tab w:leader="none" w:pos="2760" w:val="left"/>
          <w:tab w:leader="none" w:pos="1940" w:val="left"/>
          <w:tab w:leader="none" w:pos="1120" w:val="left"/>
          <w:tab w:leader="none" w:pos="300" w:val="left"/>
        </w:tabs>
        <w:rPr>
          <w:sz w:val="20"/>
          <w:szCs w:val="20"/>
          <w:color w:val="auto"/>
        </w:rPr>
      </w:pPr>
      <w:r>
        <w:rPr xmlns:w="http://schemas.openxmlformats.org/wordprocessingml/2006/main">
          <w:rFonts w:ascii="Calibri" w:cs="Calibri" w:eastAsia="Calibri" w:hAnsi="Calibri"/>
          <w:sz w:val="18"/>
          <w:szCs w:val="18"/>
          <w:color w:val="595959"/>
        </w:rPr>
        <w:t xml:space="preserve">1,22</w:t>
        <w:tab xmlns:w="http://schemas.openxmlformats.org/wordprocessingml/2006/main"/>
      </w:r>
      <w:r>
        <w:rPr xmlns:w="http://schemas.openxmlformats.org/wordprocessingml/2006/main">
          <w:rFonts w:ascii="Calibri" w:cs="Calibri" w:eastAsia="Calibri" w:hAnsi="Calibri"/>
          <w:sz w:val="18"/>
          <w:szCs w:val="18"/>
          <w:color w:val="595959"/>
        </w:rPr>
        <w:t xml:space="preserve">1,24</w:t>
        <w:tab xmlns:w="http://schemas.openxmlformats.org/wordprocessingml/2006/main"/>
      </w:r>
      <w:r>
        <w:rPr xmlns:w="http://schemas.openxmlformats.org/wordprocessingml/2006/main">
          <w:rFonts w:ascii="Calibri" w:cs="Calibri" w:eastAsia="Calibri" w:hAnsi="Calibri"/>
          <w:sz w:val="18"/>
          <w:szCs w:val="18"/>
          <w:color w:val="595959"/>
        </w:rPr>
        <w:t xml:space="preserve">1,26</w:t>
        <w:tab xmlns:w="http://schemas.openxmlformats.org/wordprocessingml/2006/main"/>
      </w:r>
      <w:r>
        <w:rPr xmlns:w="http://schemas.openxmlformats.org/wordprocessingml/2006/main">
          <w:rFonts w:ascii="Calibri" w:cs="Calibri" w:eastAsia="Calibri" w:hAnsi="Calibri"/>
          <w:sz w:val="18"/>
          <w:szCs w:val="18"/>
          <w:color w:val="595959"/>
        </w:rPr>
        <w:t xml:space="preserve">1,28</w:t>
        <w:tab xmlns:w="http://schemas.openxmlformats.org/wordprocessingml/2006/main"/>
      </w:r>
      <w:r>
        <w:rPr xmlns:w="http://schemas.openxmlformats.org/wordprocessingml/2006/main">
          <w:rFonts w:ascii="Calibri" w:cs="Calibri" w:eastAsia="Calibri" w:hAnsi="Calibri"/>
          <w:sz w:val="18"/>
          <w:szCs w:val="18"/>
          <w:color w:val="595959"/>
        </w:rPr>
        <w:t xml:space="preserve">1,30</w:t>
        <w:tab xmlns:w="http://schemas.openxmlformats.org/wordprocessingml/2006/main"/>
      </w:r>
      <w:r>
        <w:rPr xmlns:w="http://schemas.openxmlformats.org/wordprocessingml/2006/main">
          <w:rFonts w:ascii="Calibri" w:cs="Calibri" w:eastAsia="Calibri" w:hAnsi="Calibri"/>
          <w:sz w:val="18"/>
          <w:szCs w:val="18"/>
          <w:color w:val="595959"/>
        </w:rPr>
        <w:t xml:space="preserve">1,32</w:t>
        <w:tab xmlns:w="http://schemas.openxmlformats.org/wordprocessingml/2006/main"/>
      </w:r>
      <w:r>
        <w:rPr xmlns:w="http://schemas.openxmlformats.org/wordprocessingml/2006/main">
          <w:rFonts w:ascii="Calibri" w:cs="Calibri" w:eastAsia="Calibri" w:hAnsi="Calibri"/>
          <w:sz w:val="18"/>
          <w:szCs w:val="18"/>
          <w:color w:val="595959"/>
        </w:rPr>
        <w:t xml:space="preserve">1,34</w:t>
      </w:r>
    </w:p>
    <w:p>
      <w:pPr>
        <w:spacing w:after="0" w:line="70" w:lineRule="exact"/>
        <w:rPr>
          <w:sz w:val="20"/>
          <w:szCs w:val="20"/>
          <w:color w:val="auto"/>
        </w:rPr>
      </w:pPr>
    </w:p>
    <w:p>
      <w:pPr xmlns:w="http://schemas.openxmlformats.org/wordprocessingml/2006/main">
        <w:ind w:left="2860"/>
        <w:spacing w:after="0"/>
        <w:rPr>
          <w:sz w:val="20"/>
          <w:szCs w:val="20"/>
          <w:color w:val="auto"/>
        </w:rPr>
      </w:pPr>
      <w:r>
        <w:rPr xmlns:w="http://schemas.openxmlformats.org/wordprocessingml/2006/main">
          <w:rFonts w:ascii="Calibri" w:cs="Calibri" w:eastAsia="Calibri" w:hAnsi="Calibri"/>
          <w:sz w:val="16"/>
          <w:szCs w:val="16"/>
          <w:color w:val="595959"/>
        </w:rPr>
        <w:t xml:space="preserve">EUR/USD (Υποκείμενο μέσο</w:t>
      </w:r>
      <w:r>
        <w:rPr xmlns:w="http://schemas.openxmlformats.org/wordprocessingml/2006/main">
          <w:rFonts w:ascii="Calibri" w:cs="Calibri" w:eastAsia="Calibri" w:hAnsi="Calibri"/>
          <w:sz w:val="19"/>
          <w:szCs w:val="19"/>
          <w:color w:val="595959"/>
        </w:rPr>
        <w:t xml:space="preserve">)</w:t>
      </w:r>
    </w:p>
    <w:p>
      <w:pPr>
        <w:spacing w:after="0" w:line="262"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*όπως απεικονίζεται, πριμοδότηση και p / l υποθέτει ένα μέγεθος σύμβασης 10.000</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318770</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5.1pt" to="515.65pt,25.1pt" o:allowincell="f" strokecolor="#000000" strokeweight="0.48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Υποτονική Κίνηση Της Αγοράς (</w:t>
      </w:r>
      <w:r>
        <w:rPr xmlns:w="http://schemas.openxmlformats.org/wordprocessingml/2006/main">
          <w:rFonts w:ascii="Calibri" w:cs="Calibri" w:eastAsia="Calibri" w:hAnsi="Calibri"/>
          <w:sz w:val="14"/>
          <w:szCs w:val="14"/>
          <w:u w:val="single" w:color="auto"/>
          <w:color w:val="FF0000"/>
        </w:rPr>
        <w:t xml:space="preserve">Κόκκινο Σημείο Του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1,24 δολάρια για το ευρώ</w:t>
      </w:r>
    </w:p>
    <w:p>
      <w:pPr>
        <w:spacing w:after="0" w:line="89" w:lineRule="exact"/>
        <w:rPr>
          <w:sz w:val="20"/>
          <w:szCs w:val="20"/>
          <w:color w:val="auto"/>
        </w:rPr>
      </w:pPr>
    </w:p>
    <w:p>
      <w:pPr xmlns:w="http://schemas.openxmlformats.org/wordprocessingml/2006/main">
        <w:ind w:left="280" w:right="140" w:hanging="137"/>
        <w:spacing w:after="0" w:line="223"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Μη ευνοϊκό για τον συγγραφέα:</w:t>
      </w:r>
      <w:r>
        <w:rPr xmlns:w="http://schemas.openxmlformats.org/wordprocessingml/2006/main">
          <w:rFonts w:ascii="Calibri" w:cs="Calibri" w:eastAsia="Calibri" w:hAnsi="Calibri"/>
          <w:sz w:val="14"/>
          <w:szCs w:val="14"/>
          <w:color w:val="auto"/>
        </w:rPr>
        <w:t xml:space="preserve"> -200 δολάρια, που αντιπροσωπεύουν την υποχρέωση να αγοραστούν 10.000 ευρώ για 1,30 δολάρια ΗΠΑ το καθένα (όταν η επικρατούσα τιμή της αγοράς είναι 1,24 δολάρια ΗΠΑ το καθένα) συν $400 ασφάλιστρο που λαμβάνονται</w:t>
      </w:r>
    </w:p>
    <w:p>
      <w:pPr>
        <w:spacing w:after="0" w:line="145" w:lineRule="exact"/>
        <w:rPr>
          <w:rFonts w:ascii="Symbol" w:cs="Symbol" w:eastAsia="Symbol" w:hAnsi="Symbol"/>
          <w:sz w:val="14"/>
          <w:szCs w:val="14"/>
          <w:color w:val="auto"/>
        </w:rPr>
      </w:pPr>
    </w:p>
    <w:p>
      <w:pPr xmlns:w="http://schemas.openxmlformats.org/wordprocessingml/2006/main">
        <w:ind w:left="280" w:right="160" w:hanging="137"/>
        <w:spacing w:after="0" w:line="222"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Ευνοϊκή για τον κάτοχο:</w:t>
      </w:r>
      <w:r>
        <w:rPr xmlns:w="http://schemas.openxmlformats.org/wordprocessingml/2006/main">
          <w:rFonts w:ascii="Calibri" w:cs="Calibri" w:eastAsia="Calibri" w:hAnsi="Calibri"/>
          <w:sz w:val="14"/>
          <w:szCs w:val="14"/>
          <w:color w:val="auto"/>
        </w:rPr>
        <w:t xml:space="preserve"> +$200, που αντιπροσωπεύει το δικαίωμα να πωληθούν 10.000 ευρώ για 1,30 δολάρια ΗΠΑ το καθένα (όταν η επικρατούσα τιμή αγοράς είναι 1,24 δολάρια ΗΠΑ το καθένα) λιγότερο $400 premium πληρωμή</w:t>
      </w:r>
    </w:p>
    <w:p>
      <w:pPr>
        <w:spacing w:after="0" w:line="143" w:lineRule="exact"/>
        <w:rPr>
          <w:sz w:val="20"/>
          <w:szCs w:val="20"/>
          <w:color w:val="auto"/>
        </w:rPr>
      </w:pPr>
    </w:p>
    <w:p>
      <w:pPr xmlns:w="http://schemas.openxmlformats.org/wordprocessingml/2006/main">
        <w:ind w:right="380"/>
        <w:spacing w:after="0" w:line="262"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4"/>
          <w:szCs w:val="14"/>
          <w:u w:val="single" w:color="auto"/>
          <w:color w:val="00B050"/>
        </w:rPr>
        <w:t xml:space="preserve">Green Plot Point</w:t>
      </w:r>
      <w:r>
        <w:rPr xmlns:w="http://schemas.openxmlformats.org/wordprocessingml/2006/main">
          <w:rFonts w:ascii="Calibri" w:cs="Calibri" w:eastAsia="Calibri" w:hAnsi="Calibri"/>
          <w:sz w:val="14"/>
          <w:szCs w:val="14"/>
          <w:u w:val="single" w:color="auto"/>
          <w:color w:val="auto"/>
        </w:rPr>
        <w:t xml:space="preserve">) </w:t>
      </w:r>
      <w:r>
        <w:rPr xmlns:w="http://schemas.openxmlformats.org/wordprocessingml/2006/main">
          <w:rFonts w:ascii="Calibri" w:cs="Calibri" w:eastAsia="Calibri" w:hAnsi="Calibri"/>
          <w:sz w:val="14"/>
          <w:szCs w:val="14"/>
          <w:color w:val="auto"/>
        </w:rPr>
        <w:t xml:space="preserve">Αγοραία Τιμή:</w:t>
      </w:r>
      <w:r>
        <w:rPr xmlns:w="http://schemas.openxmlformats.org/wordprocessingml/2006/main">
          <w:rFonts w:ascii="Calibri" w:cs="Calibri" w:eastAsia="Calibri" w:hAnsi="Calibri"/>
          <w:sz w:val="14"/>
          <w:szCs w:val="14"/>
          <w:color w:val="auto"/>
        </w:rPr>
        <w:t xml:space="preserve"> 1,31 δολάρια για το ευρώ</w:t>
      </w:r>
    </w:p>
    <w:p>
      <w:pPr>
        <w:spacing w:after="0" w:line="25"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Ευνοϊκό για το συγγραφέα:</w:t>
      </w:r>
      <w:r>
        <w:rPr xmlns:w="http://schemas.openxmlformats.org/wordprocessingml/2006/main">
          <w:rFonts w:ascii="Calibri" w:cs="Calibri" w:eastAsia="Calibri" w:hAnsi="Calibri"/>
          <w:sz w:val="14"/>
          <w:szCs w:val="14"/>
          <w:color w:val="auto"/>
        </w:rPr>
        <w:t xml:space="preserve"> + $ 400 απόδειξη της πριμοδότησης</w:t>
      </w:r>
    </w:p>
    <w:p>
      <w:pPr>
        <w:spacing w:after="0" w:line="40" w:lineRule="exact"/>
        <w:rPr>
          <w:rFonts w:ascii="Symbol" w:cs="Symbol" w:eastAsia="Symbol" w:hAnsi="Symbol"/>
          <w:sz w:val="14"/>
          <w:szCs w:val="14"/>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Δυσμενής για τον κάτοχο:</w:t>
      </w:r>
      <w:r>
        <w:rPr xmlns:w="http://schemas.openxmlformats.org/wordprocessingml/2006/main">
          <w:rFonts w:ascii="Calibri" w:cs="Calibri" w:eastAsia="Calibri" w:hAnsi="Calibri"/>
          <w:sz w:val="14"/>
          <w:szCs w:val="14"/>
          <w:color w:val="auto"/>
        </w:rPr>
        <w:t xml:space="preserve"> -Πληρωμή πριμοδότησης 400 $</w:t>
      </w:r>
    </w:p>
    <w:p>
      <w:pPr>
        <w:spacing w:after="0" w:line="101" w:lineRule="exact"/>
        <w:rPr>
          <w:sz w:val="20"/>
          <w:szCs w:val="20"/>
          <w:color w:val="auto"/>
        </w:rPr>
      </w:pPr>
    </w:p>
    <w:p>
      <w:pPr xmlns:w="http://schemas.openxmlformats.org/wordprocessingml/2006/main">
        <w:ind w:right="160"/>
        <w:spacing w:after="0" w:line="220"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Το σημείο μεταβολής εννοιολογικού περιεχομένου προκύπτει όταν η ισχύουσα αγοραία τιμή του υποκείμενου μέσου είναι χαμηλότερη από την τιμή άσκησης, έτσι ώστε το P/L να είναι μηδενικό τόσο για τον εγγραφέα όσο και για τον κάτοχο.</w:t>
      </w:r>
    </w:p>
    <w:p>
      <w:pPr>
        <w:spacing w:after="0" w:line="108" w:lineRule="exact"/>
        <w:rPr>
          <w:sz w:val="20"/>
          <w:szCs w:val="20"/>
          <w:color w:val="auto"/>
        </w:rPr>
      </w:pPr>
    </w:p>
    <w:p>
      <w:pPr>
        <w:sectPr>
          <w:pgSz w:w="12240" w:h="15840" w:orient="portrait"/>
          <w:cols w:equalWidth="0" w:num="2">
            <w:col w:w="6200" w:space="440"/>
            <w:col w:w="3680"/>
          </w:cols>
          <w:pgMar w:left="940" w:top="634" w:right="980" w:bottom="128"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 όλα</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20"/>
          </w:cols>
          <w:pgMar w:left="940" w:top="634" w:right="980" w:bottom="128"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68.4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68.4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68.4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852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852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 και μπορεί να υποστεί ζημία μέχρι οποιοδήποτε ποσό που οφείλεται </w:t>
      </w:r>
      <w:r>
        <w:rPr xmlns:w="http://schemas.openxmlformats.org/wordprocessingml/2006/main">
          <w:rFonts w:ascii="Calibri" w:cs="Calibri" w:eastAsia="Calibri" w:hAnsi="Calibri"/>
          <w:sz w:val="22"/>
          <w:szCs w:val="22"/>
          <w:u w:val="single" w:color="auto"/>
          <w:color w:val="auto"/>
        </w:rPr>
        <w:t xml:space="preserve">σε</w:t>
      </w:r>
      <w:r>
        <w:rPr xmlns:w="http://schemas.openxmlformats.org/wordprocessingml/2006/main">
          <w:rFonts w:ascii="Calibri" w:cs="Calibri" w:eastAsia="Calibri" w:hAnsi="Calibri"/>
          <w:sz w:val="22"/>
          <w:szCs w:val="22"/>
          <w:color w:val="auto"/>
        </w:rPr>
        <w:t xml:space="preserve"> εσάς.</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τυποποιημένες επιλογές FX εξαρτάται</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σε πολλαπλούς παράγοντες.</w:t>
            </w:r>
            <w:r>
              <w:rPr xmlns:w="http://schemas.openxmlformats.org/wordprocessingml/2006/main">
                <w:rFonts w:ascii="Calibri" w:cs="Calibri" w:eastAsia="Calibri" w:hAnsi="Calibri"/>
                <w:sz w:val="22"/>
                <w:szCs w:val="22"/>
                <w:color w:val="auto"/>
              </w:rPr>
              <w:t xml:space="preserve"> Ένα premium επιλογές είναι το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που καταβάλλονται από τον κάτοχο στο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σημαντική επίπτωση στην πριμοδότηση περιλαμβάνουν, αλλά δεν</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περιορίζεται σε, τις σχετικές τιμές του υποκείμενου μέσου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νομίσματα διαπραγμάτευσης, χρόνος μέχρι τη λήξη του δικαιώματος προαίρεσης,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και την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συνίστανται κυρίως σε προμήθειες (οι οποίες επιβάλλονται</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κατά το άνοιγμα, το κλείσιμο, την άσκηση και την ανάθεση</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συναλλαγές), αλλά μπορεί επίσης να περιλαμβάνει περιθώριο και</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έξοδα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πρέπει να</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ένα συγγραφέα στην μεσιτική του εταιρεία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πωλούν τον υποκείμενο τόκο ή καταβάλλουν τον διακανονισμό τοις μετρητοίς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η συσκευή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72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w w:val="99"/>
              </w:rPr>
              <w:t xml:space="preserve">Ουάσινγκτον, DC 20549-0213 Φαξ:</w:t>
            </w:r>
            <w:r>
              <w:rPr xmlns:w="http://schemas.openxmlformats.org/wordprocessingml/2006/main">
                <w:rFonts w:ascii="Calibri" w:cs="Calibri" w:eastAsia="Calibri" w:hAnsi="Calibri"/>
                <w:sz w:val="22"/>
                <w:szCs w:val="22"/>
                <w:color w:val="auto"/>
                <w:w w:val="99"/>
              </w:rPr>
              <w:t xml:space="preserve">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02" w:right="880" w:bottom="2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FC2673D"/>
    <w:multiLevelType w:val="hybridMultilevel"/>
    <w:lvl w:ilvl="0">
      <w:lvlJc w:val="left"/>
      <w:lvlText w:val="·"/>
      <w:numFmt w:val="bullet"/>
      <w:start w:val="1"/>
    </w:lvl>
  </w:abstractNum>
  <w:abstractNum w:abstractNumId="1">
    <w:nsid w:val="5AFDFD98"/>
    <w:multiLevelType w:val="hybridMultilevel"/>
    <w:lvl w:ilvl="0">
      <w:lvlJc w:val="left"/>
      <w:lvlText w:val="·"/>
      <w:numFmt w:val="bullet"/>
      <w:start w:val="1"/>
    </w:lvl>
  </w:abstractNum>
  <w:abstractNum w:abstractNumId="2">
    <w:nsid w:val="9C5D0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2024-05-20T14:38:51Z</dcterms:created>
  <dcterms:modified xsi:type="dcterms:W3CDTF">2024-05-20T14:38:51Z</dcterms:modified>
</cp:coreProperties>
</file>