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32"/>
          <w:szCs w:val="32"/>
          <w:b w:val="1"/>
          <w:bCs w:val="1"/>
          <w:color w:val="263E33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4364355</wp:posOffset>
            </wp:positionH>
            <wp:positionV relativeFrom="page">
              <wp:posOffset>344170</wp:posOffset>
            </wp:positionV>
            <wp:extent cx="2835275" cy="2520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275" cy="25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32"/>
          <w:szCs w:val="32"/>
          <w:b w:val="1"/>
          <w:bCs w:val="1"/>
          <w:color w:val="263E33"/>
        </w:rPr>
        <w:t xml:space="preserve">Dokument zawierający kluczowe informacje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5532120</wp:posOffset>
            </wp:positionH>
            <wp:positionV relativeFrom="paragraph">
              <wp:posOffset>-114300</wp:posOffset>
            </wp:positionV>
            <wp:extent cx="516890" cy="1136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11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Przeznaczenie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Pojęcia niezdefiniowane w niniejszym dokumencie są zgodne z definicją zawartą w Prospekcie.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111760</wp:posOffset>
            </wp:positionV>
            <wp:extent cx="6840220" cy="476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2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7"/>
          <w:szCs w:val="27"/>
          <w:b w:val="1"/>
          <w:bCs w:val="1"/>
          <w:color w:val="263E33"/>
        </w:rPr>
        <w:t xml:space="preserve">SPDR S&amp;P 500 Low Volatility UCITS ETF ("Fundusz")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color w:val="263E33"/>
        </w:rPr>
        <w:t xml:space="preserve">subfundusz </w:t>
      </w: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SSGA SPDR ETF Europe I plc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263E33"/>
        </w:rPr>
        <w:t xml:space="preserve">Klasa udziałów: SPDR S&amp;P 500 Low Volatility UCITS ETF (Acc) (ISIN IE00B802KR88)</w:t>
      </w:r>
    </w:p>
    <w:p>
      <w:pPr>
        <w:spacing w:after="0" w:line="11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SPDR S&amp;P 500 Low Volatility UCITS ETF posiada zezwolenie w Irlandii i jest regulowany przez Central Bank of Ireland.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rFonts w:ascii="Arial" w:cs="Arial" w:eastAsia="Arial" w:hAnsi="Arial"/>
          <w:sz w:val="17"/>
          <w:szCs w:val="17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ten jest zarządzany przez State Street Global Advisors Europe Limited ("Fund Manager"), który posiada zezwolenie w Irlandii i jest nadzorowany przez Central Bank of Ireland.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Więcej informacji na temat tego produktu można znaleźć pod adresem </w:t>
      </w:r>
      <w:hyperlink w:anchor="page1">
        <w:r>
          <w:rPr xmlns:w="http://schemas.openxmlformats.org/wordprocessingml/2006/main">
            <w:rFonts w:ascii="Arial" w:cs="Arial" w:eastAsia="Arial" w:hAnsi="Arial"/>
            <w:sz w:val="17"/>
            <w:szCs w:val="17"/>
            <w:color w:val="auto"/>
          </w:rPr>
          <w:t xml:space="preserve">www.ssga.com</w:t>
        </w:r>
      </w:hyperlink>
    </w:p>
    <w:p>
      <w:pPr>
        <w:spacing w:after="0" w:line="10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9"/>
          <w:szCs w:val="19"/>
          <w:b w:val="1"/>
          <w:bCs w:val="1"/>
          <w:color w:val="263E33"/>
        </w:rPr>
        <w:t xml:space="preserve">Dokładne od: 1 stycznia 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158750</wp:posOffset>
            </wp:positionV>
            <wp:extent cx="6840220" cy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780"/>
          </w:cols>
          <w:pgMar w:left="560" w:top="564" w:right="566" w:bottom="0" w:gutter="0" w:footer="0" w:header="0"/>
        </w:sect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Co to za produkt?</w:t>
      </w:r>
    </w:p>
    <w:p>
      <w:pPr>
        <w:spacing w:after="0" w:line="6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Typ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Fundusz ten jest spółką inwestycyjną otwartą o zmiennym kapitale, która została utworzona w Irlandii w dniu 5 stycznia 2011 r. pod numerem rejestracyjnym 493329 i jest zatwierdzona przez Bank Centralny jako UCITS.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Termin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Spółka jest spółką akcyjną otwartą, założoną na czas nieokreślony.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Jednakże może on zostać w każdej chwili rozwiązany uchwałą podjętą na walnym zgromadzeniu akcjonariuszy, podjętą zgodnie z obowiązującymi przepisami prawa.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nie ma terminu zapadalności.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Może on jednak zostać rozwiązany i zlikwidowany decyzją Rady na szczególnych warunkach określonych w Prospekcie.</w:t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Cele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Celem funduszu jest śledzenie wyników dużych amerykańskich przedsiębiorstw na rynku akcji, które w przeszłości charakteryzowały się niską zmiennością.</w:t>
      </w:r>
    </w:p>
    <w:p>
      <w:pPr>
        <w:spacing w:after="0" w:line="8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dąży do jak najdokładniejszego śledzenia wyników wskaźnika niskiej zmienności S&amp;P 500® ("Indeks").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jest funduszem śledzącym indeksy (znanym również jako fundusz zarządzany pasywnie).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Polityka inwestycyjna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000000"/>
        </w:rPr>
        <w:t xml:space="preserve"> Fundusz inwestuje przede wszystkim w papiery wartościowe objęte Indeksem.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000000"/>
        </w:rPr>
        <w:t xml:space="preserve"> Papiery te obejmują amerykańskie spółki o dużej kapitalizacji.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000000"/>
        </w:rPr>
        <w:t xml:space="preserve"> Indeks mierzy wyniki 100 najmniej niestabilnych akcji w ramach indeksu S&amp;P 500.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6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Chociaż indeks jest zasadniczo dobrze zdywersyfikowany, aby umożliwić funduszowi dokładne śledzenie indeksu, fundusz będzie korzystał ze zwiększonych limitów dywersyfikacji dostępnych na mocy rozporządzeń w sprawie UCITS, które umożliwiają mu utrzymywanie pozycji w poszczególnych składnikach indeksu wyemitowanych przez ten sam organ w wysokości do 20 % wartości aktywów netto funduszu.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stara się utrzymywać wszystkie papiery wartościowe objęte Indeksem z przybliżonymi współczynnikami korygującymi, jak w tym Indeksie.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Fundusz będzie stosował strategię replikacji w celu stworzenia zbliżonego do lustrzanego obrazu Indeksu.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W ograniczonych okolicznościach Fundusz może nabywać papiery wartościowe, które nie są objęte Indeksem.</w:t>
      </w:r>
    </w:p>
    <w:p>
      <w:pPr>
        <w:spacing w:after="0" w:line="8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może wykorzystywać finansowe instrumenty pochodne (tj. umowy finansowe, których ceny zależą od jednego lub większej liczby aktywów bazowych) w celu efektywnego zarządzania portfelem.</w:t>
      </w:r>
    </w:p>
    <w:p>
      <w:pPr>
        <w:spacing w:after="0" w:line="8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3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Z wyjątkiem wyjątkowych okoliczności Fundusz będzie zasadniczo emitował i umarzał akcje tylko niektórym inwestorom instytucjonalnym.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Natomiast akcje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1323975</wp:posOffset>
            </wp:positionV>
            <wp:extent cx="6840220" cy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może być kupowany lub sprzedawany za pośrednictwem brokerów na jednej lub kilku giełdach.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Fundusz dokonuje obrotu na tych giełdach po cenach rynkowych, które mogą ulegać wahaniom w ciągu dnia.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Ceny rynkowe mogą być wyższe lub niższe od dziennej wartości aktywów netto Funduszu.</w:t>
      </w:r>
    </w:p>
    <w:p>
      <w:pPr>
        <w:spacing w:after="0" w:line="7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Obecnie Fundusz nie prowadzi działalności w zakresie pożyczek papierów wartościowych.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67" w:lineRule="auto"/>
        <w:rPr>
          <w:rFonts w:ascii="Arial" w:cs="Arial" w:eastAsia="Arial" w:hAnsi="Arial"/>
          <w:sz w:val="16"/>
          <w:szCs w:val="16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Akcjonariusze mogą umarzać akcje w dowolnym dniu roboczym w Zjednoczonym Królestwie (innym niż dni, w których właściwe rynki finansowe są zamknięte dla prowadzenia działalności i/lub dzień poprzedzający taki dzień, pod warunkiem że lista takich zamkniętych dni rynkowych zostanie opublikowana dla Funduszu na stronie </w:t>
      </w:r>
      <w:hyperlink r:id="rId17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auto"/>
          </w:rPr>
          <w:t xml:space="preserve">www.ssga.com); </w:t>
        </w:r>
      </w:hyperlink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oraz w każdym innym dniu według uznania Dyrektorów (działając rozsądnie), pod warunkiem że Akcjonariusze zostaną powiadomieni z wyprzedzeniem o takich dniach.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Wszelkie przychody uzyskane przez Fundusz zostaną zatrzymane i odzwierciedlone we wzroście wartości udziałów.</w:t>
      </w:r>
    </w:p>
    <w:p>
      <w:pPr>
        <w:spacing w:after="0" w:line="8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Akcje Funduszu są emitowane w dolarach amerykańskich.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8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Źródło indeksu: "S&amp;P 500® Low Volatility Index ("Indeks")" jest produktem spółki S&amp;P Dow Jones Indices LLC ("S&amp;P"), który został licencjonowany do użytku przez State Street Global Advisors.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Standard &amp; Poor's® oraz S&amp;P® są zastrzeżonymi znakami towarowymi firmy Standard &amp; Poor's Financial Services LLC, Dow Jones® jest zastrzeżonym znakiem towarowym firmy Dow Jones Trademark Holdings LLC.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SPDR S&amp;P 500 Low Volatility UCITS ETF nie jest sponsorowany, wspierany, sprzedawany ani promowany przez S&amp;P, jej spółki stowarzyszone ani jej lub ich zewnętrznych licencjodawców, a żadna z takich stron nie składa żadnych oświadczeń dotyczących celowości inwestowania w taki produkt(-y) ani nie ponosi żadnej odpowiedzialności za błędy, pominięcia lub przerwy w działaniu Indeksu.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Zamierzony inwestor detaliczny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ten jest przeznaczony dla inwestorów, którzy planują pozostać w inwestycjach przez co najmniej 5 lat i są gotowi podjąć ryzyko straty kapitału początkowego na średnim poziomie, aby uzyskać wyższy potencjalny zwrot.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Jest zaprojektowany jako część portfela inwestycji.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Informacje praktyczne</w:t>
      </w:r>
    </w:p>
    <w:p>
      <w:pPr>
        <w:spacing w:after="0" w:line="3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Depozytariusz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000000"/>
        </w:rPr>
        <w:t xml:space="preserve"> Depozytariuszem funduszu jest State Street Custodial Services (Ireland) Limited.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68" w:lineRule="auto"/>
        <w:rPr>
          <w:rFonts w:ascii="Arial" w:cs="Arial" w:eastAsia="Arial" w:hAnsi="Arial"/>
          <w:sz w:val="16"/>
          <w:szCs w:val="16"/>
          <w:color w:val="00000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63E33"/>
        </w:rPr>
        <w:t xml:space="preserve">Dalsze informacje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Prospekt emisyjny oraz ostatni roczny i półroczny raport finansowy w języku angielskim, a także najnowsza wartość aktywów netto na akcję są dostępne bezpłatnie na żądanie ze strony </w:t>
      </w:r>
      <w:hyperlink r:id="rId17">
        <w:r>
          <w:rPr xmlns:w="http://schemas.openxmlformats.org/wordprocessingml/2006/main">
            <w:rFonts w:ascii="Arial" w:cs="Arial" w:eastAsia="Arial" w:hAnsi="Arial"/>
            <w:sz w:val="16"/>
            <w:szCs w:val="16"/>
            <w:color w:val="000000"/>
          </w:rPr>
          <w:t xml:space="preserve">www.ssga.com </w:t>
        </w:r>
      </w:hyperlink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lub pisząc do Managera Funduszu, State Street Global Advisors Europe Limited, 78 Sir John Rogerson's Quay, Dublin 2, Irlandia.</w:t>
      </w:r>
    </w:p>
    <w:p>
      <w:pPr>
        <w:spacing w:after="0" w:line="78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160" w:space="460"/>
            <w:col w:w="5160"/>
          </w:cols>
          <w:pgMar w:left="560" w:top="564" w:right="566" w:bottom="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Strona 1/3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1 stycznia 2023</w:t>
      </w:r>
    </w:p>
    <w:p>
      <w:pPr>
        <w:sectPr>
          <w:pgSz w:w="11900" w:h="16838" w:orient="portrait"/>
          <w:cols w:equalWidth="0" w:num="1">
            <w:col w:w="10780"/>
          </w:cols>
          <w:pgMar w:left="560" w:top="564" w:right="566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SPDR S&amp;P 500 Low Volatility UCITS ETF, subfundusz SSGA SPDR ETFs Europe I plc - Acc Accumulation USD (IE00B802KR88)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27940</wp:posOffset>
            </wp:positionV>
            <wp:extent cx="6840220" cy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780"/>
          </w:cols>
          <w:pgMar w:left="560" w:top="521" w:right="566" w:bottom="0" w:gutter="0" w:footer="0" w:header="0"/>
        </w:sectPr>
      </w:pPr>
    </w:p>
    <w:p>
      <w:pPr>
        <w:spacing w:after="0" w:line="35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b w:val="1"/>
          <w:bCs w:val="1"/>
          <w:color w:val="263E33"/>
        </w:rPr>
        <w:t xml:space="preserve">Jakie jest ryzyko i co mogę dostać w zamian?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Ryzyka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43180</wp:posOffset>
            </wp:positionV>
            <wp:extent cx="3312160" cy="890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60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6" w:lineRule="exact"/>
        <w:rPr>
          <w:sz w:val="20"/>
          <w:szCs w:val="20"/>
          <w:color w:val="auto"/>
        </w:rPr>
      </w:pPr>
    </w:p>
    <w:tbl>
      <w:tblPr>
        <w:tblLayout w:type="fixed"/>
        <w:tblInd w:w="1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880" w:type="dxa"/>
            <w:vAlign w:val="bottom"/>
          </w:tcPr>
          <w:p>
            <w:pPr xmlns:w="http://schemas.openxmlformats.org/wordprocessingml/2006/main">
              <w:jc w:val="right"/>
              <w:ind w:right="38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  <w:w w:val="86"/>
              </w:rPr>
              <w:t xml:space="preserve">Niższe ryzyko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</w:rPr>
              <w:t xml:space="preserve">Wyższe ryzyko</w:t>
            </w:r>
          </w:p>
        </w:tc>
      </w:tr>
      <w:tr>
        <w:trPr>
          <w:trHeight w:val="554"/>
        </w:trPr>
        <w:tc>
          <w:tcPr>
            <w:tcW w:w="880" w:type="dxa"/>
            <w:vAlign w:val="bottom"/>
          </w:tcPr>
          <w:p>
            <w:pPr xmlns:w="http://schemas.openxmlformats.org/wordprocessingml/2006/main">
              <w:jc w:val="right"/>
              <w:ind w:right="438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</w:t>
            </w:r>
          </w:p>
        </w:tc>
        <w:tc>
          <w:tcPr>
            <w:tcW w:w="520" w:type="dxa"/>
            <w:vAlign w:val="bottom"/>
          </w:tcPr>
          <w:p>
            <w:pPr xmlns:w="http://schemas.openxmlformats.org/wordprocessingml/2006/main"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2</w:t>
            </w:r>
          </w:p>
        </w:tc>
        <w:tc>
          <w:tcPr>
            <w:tcW w:w="700" w:type="dxa"/>
            <w:vAlign w:val="bottom"/>
          </w:tcPr>
          <w:p>
            <w:pPr xmlns:w="http://schemas.openxmlformats.org/wordprocessingml/2006/main"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3</w:t>
            </w: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4</w:t>
            </w:r>
          </w:p>
        </w:tc>
        <w:tc>
          <w:tcPr>
            <w:tcW w:w="700" w:type="dxa"/>
            <w:vAlign w:val="bottom"/>
          </w:tcPr>
          <w:p>
            <w:pPr xmlns:w="http://schemas.openxmlformats.org/wordprocessingml/2006/main"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5</w:t>
            </w:r>
          </w:p>
        </w:tc>
        <w:tc>
          <w:tcPr>
            <w:tcW w:w="4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6</w:t>
            </w: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ind w:right="198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7</w:t>
            </w:r>
          </w:p>
        </w:tc>
      </w:tr>
    </w:tbl>
    <w:p>
      <w:pPr>
        <w:spacing w:after="0" w:line="1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Wskaźnik ryzyka zakłada przechowywanie produktu przez 5 lat.</w:t>
      </w:r>
    </w:p>
    <w:p>
      <w:pPr>
        <w:spacing w:after="0" w:line="38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Powyższa kategoria ryzyka pokazuje, jak prawdopodobne jest, że fundusz straci pieniądze z powodu zmian na rynkach lub dlatego, że nie jesteśmy w stanie Ci zapłacić.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Kategoria ryzyka Funduszu nie jest gwarantowana i może ulec zmianie w przyszłości.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Zaklasyfikowaliśmy ten produkt jako 4 z 7, co jest średnią kategorią ryzyka.</w:t>
      </w:r>
    </w:p>
    <w:p>
      <w:pPr>
        <w:spacing w:after="0" w:line="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W ten sposób ocenia się potencjalne straty wynikające z przyszłych wyników na średnim poziomie, a złe warunki rynkowe mogą mieć wpływ na zdolność State Street Global Advisors Europe Limited do zapłaty.</w:t>
      </w:r>
    </w:p>
    <w:p>
      <w:pPr>
        <w:spacing w:after="0" w:line="8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Możesz otrzymywać płatności w innej walucie, więc na wyniki Twojej inwestycji będzie miał wpływ kurs wymiany między tymi dwiema walutami.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Ryzyko to nie jest uwzględniane we wskaźniku przedstawionym powyżej.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rFonts w:ascii="Arial" w:cs="Arial" w:eastAsia="Arial" w:hAnsi="Arial"/>
          <w:sz w:val="17"/>
          <w:szCs w:val="17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Poza ryzykami uwzględnionymi we wskaźniku ryzyka, na wyniki funduszu mogą mieć wpływ inne rodzaje ryzyka.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Prospekt emisyjny Funduszu dostępny jest bezpłatnie na stronie </w:t>
      </w:r>
      <w:hyperlink r:id="rId17">
        <w:r>
          <w:rPr xmlns:w="http://schemas.openxmlformats.org/wordprocessingml/2006/main">
            <w:rFonts w:ascii="Arial" w:cs="Arial" w:eastAsia="Arial" w:hAnsi="Arial"/>
            <w:sz w:val="17"/>
            <w:szCs w:val="17"/>
            <w:color w:val="auto"/>
          </w:rPr>
          <w:t xml:space="preserve">www.ssga.com.</w:t>
        </w:r>
      </w:hyperlink>
    </w:p>
    <w:p>
      <w:pPr>
        <w:spacing w:after="0" w:line="145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5220" w:space="340"/>
            <w:col w:w="5220"/>
          </w:cols>
          <w:pgMar w:left="560" w:top="521" w:right="566" w:bottom="0" w:gutter="0" w:footer="0" w:header="0"/>
          <w:type w:val="continuous"/>
        </w:sect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Scenariusze wydajności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Przedstawione dane liczbowe obejmują wszystkie koszty funduszu inne niż koszty, które mogą być konieczne do zapłacenia doradcy, dystrybutorowi lub innemu pośrednikowi.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Liczby nie uwzględniają Twojej osobistej sytuacji podatkowej, która może mieć również wpływ na Twój zwrot.</w:t>
      </w:r>
    </w:p>
    <w:p>
      <w:pPr>
        <w:spacing w:after="0" w:line="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To, co uzyskasz z tego produktu, zależy od przyszłej wydajności rynku.</w:t>
      </w: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 Rozwój rynku w przyszłości jest niepewny i nie można go dokładnie przewidzieć.</w:t>
      </w:r>
    </w:p>
    <w:p>
      <w:pPr>
        <w:spacing w:after="0" w:line="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Niekorzystne, umiarkowane i korzystne scenariusze są ilustracjami wykorzystującymi najgorszą, średnią i najlepszą wydajność produktu w ciągu ostatnich 10 lat.</w:t>
      </w: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 Rynki mogą w przyszłości rozwijać się zupełnie inaczej.</w:t>
      </w:r>
    </w:p>
    <w:p>
      <w:pPr>
        <w:spacing w:after="0" w:line="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Scenariusz warunków skrajnych pokazuje, co możesz odzyskać w ekstremalnych warunkach rynkowych.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Niekorzystny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: taki scenariusz miał miejsce dla inwestycji w latach 2021-2022.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Umiarkowane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: taki scenariusz miał miejsce w przypadku inwestycji w latach 2014-2019.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auto"/>
        </w:rPr>
        <w:t xml:space="preserve">Korzystny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: taki scenariusz miał miejsce w przypadku inwestycji w latach 2012-2017.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95885</wp:posOffset>
            </wp:positionV>
            <wp:extent cx="6840220" cy="2051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20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9" w:lineRule="exact"/>
        <w:rPr>
          <w:sz w:val="20"/>
          <w:szCs w:val="20"/>
          <w:color w:val="auto"/>
        </w:rPr>
      </w:pPr>
    </w:p>
    <w:tbl>
      <w:tblPr>
        <w:tblLayout w:type="fixed"/>
        <w:tblInd w:w="1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5840" w:type="dxa"/>
            <w:vAlign w:val="bottom"/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</w:rPr>
              <w:t xml:space="preserve">Zalecany okres utrzymywania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</w:rPr>
              <w:t xml:space="preserve">5 lat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317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  <w:w w:val="97"/>
              </w:rPr>
              <w:t xml:space="preserve">Przykładowa inwestycja</w:t>
            </w: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</w:rPr>
              <w:t xml:space="preserve">10 000 USD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38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6"/>
              </w:rPr>
              <w:t xml:space="preserve">jeśli zakończysz po</w:t>
            </w:r>
          </w:p>
        </w:tc>
      </w:tr>
      <w:tr>
        <w:trPr>
          <w:trHeight w:val="192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0"/>
              </w:rPr>
              <w:t xml:space="preserve">5 lat</w:t>
            </w:r>
          </w:p>
        </w:tc>
      </w:tr>
      <w:tr>
        <w:trPr>
          <w:trHeight w:val="193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7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</w:rPr>
              <w:t xml:space="preserve">jeśli zakończysz po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63E33"/>
                <w:w w:val="92"/>
              </w:rPr>
              <w:t xml:space="preserve">(zalecane</w:t>
            </w:r>
          </w:p>
        </w:tc>
      </w:tr>
      <w:tr>
        <w:trPr>
          <w:trHeight w:val="192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</w:rPr>
              <w:t xml:space="preserve">Scenariusze</w:t>
            </w:r>
          </w:p>
        </w:tc>
        <w:tc>
          <w:tcPr>
            <w:tcW w:w="4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2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</w:rPr>
              <w:t xml:space="preserve">1 rok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63E33"/>
                <w:w w:val="96"/>
              </w:rPr>
              <w:t xml:space="preserve">(okres utrzymywania)</w:t>
            </w:r>
          </w:p>
        </w:tc>
      </w:tr>
      <w:tr>
        <w:trPr>
          <w:trHeight w:val="367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Minimalne</w:t>
            </w:r>
          </w:p>
        </w:tc>
        <w:tc>
          <w:tcPr>
            <w:tcW w:w="7240" w:type="dxa"/>
            <w:vAlign w:val="bottom"/>
            <w:gridSpan w:val="2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Nie ma minimalnego gwarantowanego zwrotu.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 Możesz stracić część lub całość inwestycji.</w:t>
            </w:r>
          </w:p>
        </w:tc>
        <w:tc>
          <w:tcPr>
            <w:tcW w:w="15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65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Naprężenie</w:t>
            </w: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760 USD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950 USD</w:t>
            </w:r>
          </w:p>
        </w:tc>
      </w:tr>
      <w:tr>
        <w:trPr>
          <w:trHeight w:val="190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- 92,4%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- 37,6%</w:t>
            </w:r>
          </w:p>
        </w:tc>
      </w:tr>
      <w:tr>
        <w:trPr>
          <w:trHeight w:val="350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Niekorzystny</w:t>
            </w: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9 070 USD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10 380 USD</w:t>
            </w:r>
          </w:p>
        </w:tc>
      </w:tr>
      <w:tr>
        <w:trPr>
          <w:trHeight w:val="193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- 9,3%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0.7%</w:t>
            </w:r>
          </w:p>
        </w:tc>
      </w:tr>
      <w:tr>
        <w:trPr>
          <w:trHeight w:val="350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Umiarkowane</w:t>
            </w: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11 230 USD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16 590 USD</w:t>
            </w:r>
          </w:p>
        </w:tc>
      </w:tr>
      <w:tr>
        <w:trPr>
          <w:trHeight w:val="194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12.3%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10,7%</w:t>
            </w:r>
          </w:p>
        </w:tc>
      </w:tr>
      <w:tr>
        <w:trPr>
          <w:trHeight w:val="349"/>
        </w:trPr>
        <w:tc>
          <w:tcPr>
            <w:tcW w:w="16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Korzystne</w:t>
            </w: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Co możesz odzyskać po kosztach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12 720 USD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18 970 USD</w:t>
            </w:r>
          </w:p>
        </w:tc>
      </w:tr>
      <w:tr>
        <w:trPr>
          <w:trHeight w:val="192"/>
        </w:trPr>
        <w:tc>
          <w:tcPr>
            <w:tcW w:w="16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220" w:type="dxa"/>
            <w:vAlign w:val="bottom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Średni zwrot w każdym roku</w:t>
            </w:r>
          </w:p>
        </w:tc>
        <w:tc>
          <w:tcPr>
            <w:tcW w:w="3020" w:type="dxa"/>
            <w:vAlign w:val="bottom"/>
          </w:tcPr>
          <w:p>
            <w:pPr xmlns:w="http://schemas.openxmlformats.org/wordprocessingml/2006/main">
              <w:ind w:left="15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27.2%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13.7%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-2395220</wp:posOffset>
            </wp:positionV>
            <wp:extent cx="6840220" cy="24415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244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Co się stanie, jeśli zarządzający funduszem nie będzie w stanie wypłacić środków?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Zarządzający odpowiada za administrowanie i zarządzanie Spółką i zazwyczaj nie posiada aktywów Spółki (aktywa, które mogą być przechowywane przez depozytariusza są, zgodnie z obowiązującymi przepisami, przechowywane u depozytariusza w jego sieci powierniczej).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Kierownik, jako producent tego produktu, nie ma obowiązku wypłacać, ponieważ projekt produktu nie przewiduje żadnej takiej płatności.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Inwestorzy mogą jednak ponieść stratę, jeżeli Spółka lub depozytariusz nie będą w stanie jej wypłacić.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154305</wp:posOffset>
            </wp:positionV>
            <wp:extent cx="6840220" cy="476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Jakie są koszty?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Osoba doradzająca lub sprzedająca Ci ten produkt może naliczyć Ci inne koszty.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Jeśli tak, osoba ta przekaże Ci informacje o tych kosztach i ich wpływie na Twoją inwestycję.</w:t>
      </w:r>
    </w:p>
    <w:p>
      <w:pPr>
        <w:spacing w:after="0" w:line="10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Koszty w czasie</w:t>
      </w:r>
    </w:p>
    <w:p>
      <w:pPr>
        <w:spacing w:after="0" w:line="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W tabelach przedstawiono kwoty pobrane z inwestycji w celu pokrycia różnych rodzajów kosztów.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Kwoty te zależą od tego, ile zainwestujecie i jak długo utrzymujecie Państwo Fundusz.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Przedstawione tu kwoty są ilustracjami opartymi na określonej kwocie inwestycji, z uwzględnieniem różnych okresów utrzymywania.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Założyliśmy: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40" w:hanging="233"/>
        <w:spacing w:after="0" w:line="245" w:lineRule="auto"/>
        <w:tabs>
          <w:tab w:leader="none" w:pos="240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263E33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W pierwszym roku otrzymasz kwotę, którą zainwestowałeś (0% rocznego zwrotu).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W odniesieniu do pozostałych okresów utrzymywania zasobów założyliśmy, że produkt działa zgodnie ze scenariuszem umiarkowanym,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391795</wp:posOffset>
            </wp:positionV>
            <wp:extent cx="6840220" cy="698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780"/>
          </w:cols>
          <w:pgMar w:left="560" w:top="521" w:right="566" w:bottom="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Strona 2/3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1 stycznia 2023</w:t>
      </w:r>
    </w:p>
    <w:p>
      <w:pPr>
        <w:sectPr>
          <w:pgSz w:w="11900" w:h="16838" w:orient="portrait"/>
          <w:cols w:equalWidth="0" w:num="1">
            <w:col w:w="10780"/>
          </w:cols>
          <w:pgMar w:left="560" w:top="521" w:right="566" w:bottom="0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SPDR S&amp;P 500 Low Volatility UCITS ETF, subfundusz SSGA SPDR ETFs Europe I plc - Acc Accumulation USD (IE00B802KR88)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15875</wp:posOffset>
            </wp:positionV>
            <wp:extent cx="6840220" cy="698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263E33"/>
        </w:rPr>
        <w:t xml:space="preserve">Q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10 000 USD rocznie jest inwestowane.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100330</wp:posOffset>
            </wp:positionV>
            <wp:extent cx="6840220" cy="57404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1" w:lineRule="exact"/>
        <w:rPr>
          <w:sz w:val="20"/>
          <w:szCs w:val="20"/>
          <w:color w:val="auto"/>
        </w:rPr>
      </w:pPr>
    </w:p>
    <w:tbl>
      <w:tblPr>
        <w:tblLayout w:type="fixed"/>
        <w:tblInd w:w="1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4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6"/>
              </w:rPr>
              <w:t xml:space="preserve">jeśli zakończysz po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49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0"/>
              </w:rPr>
              <w:t xml:space="preserve">5 lat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3"/>
        </w:trPr>
        <w:tc>
          <w:tcPr>
            <w:tcW w:w="492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7"/>
                <w:szCs w:val="17"/>
                <w:b w:val="1"/>
                <w:bCs w:val="1"/>
                <w:color w:val="263E33"/>
              </w:rPr>
              <w:t xml:space="preserve">Przykład: Inwestycja 10 000 USD</w:t>
            </w:r>
          </w:p>
        </w:tc>
        <w:tc>
          <w:tcPr>
            <w:tcW w:w="3940" w:type="dxa"/>
            <w:vAlign w:val="bottom"/>
          </w:tcPr>
          <w:p>
            <w:pPr xmlns:w="http://schemas.openxmlformats.org/wordprocessingml/2006/main">
              <w:jc w:val="center"/>
              <w:ind w:left="23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6"/>
              </w:rPr>
              <w:t xml:space="preserve">jeśli zakończysz po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63E33"/>
                <w:w w:val="92"/>
              </w:rPr>
              <w:t xml:space="preserve">(zalecane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49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40" w:type="dxa"/>
            <w:vAlign w:val="bottom"/>
          </w:tcPr>
          <w:p>
            <w:pPr xmlns:w="http://schemas.openxmlformats.org/wordprocessingml/2006/main">
              <w:jc w:val="center"/>
              <w:ind w:left="23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263E33"/>
                <w:w w:val="95"/>
              </w:rPr>
              <w:t xml:space="preserve">1 rok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jc w:val="center"/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63E33"/>
                <w:w w:val="96"/>
              </w:rPr>
              <w:t xml:space="preserve">(okres utrzymywania)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7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Koszty ogółem</w:t>
            </w:r>
          </w:p>
        </w:tc>
        <w:tc>
          <w:tcPr>
            <w:tcW w:w="3940" w:type="dxa"/>
            <w:vAlign w:val="bottom"/>
          </w:tcPr>
          <w:p>
            <w:pPr xmlns:w="http://schemas.openxmlformats.org/wordprocessingml/2006/main">
              <w:ind w:left="24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35 USD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293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68"/>
        </w:trPr>
        <w:tc>
          <w:tcPr>
            <w:tcW w:w="49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Roczny wpływ na koszty*</w:t>
            </w:r>
          </w:p>
        </w:tc>
        <w:tc>
          <w:tcPr>
            <w:tcW w:w="3940" w:type="dxa"/>
            <w:vAlign w:val="bottom"/>
          </w:tcPr>
          <w:p>
            <w:pPr xmlns:w="http://schemas.openxmlformats.org/wordprocessingml/2006/main">
              <w:ind w:left="24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0,4%</w:t>
            </w:r>
          </w:p>
        </w:tc>
        <w:tc>
          <w:tcPr>
            <w:tcW w:w="150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0,4%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-414655</wp:posOffset>
            </wp:positionV>
            <wp:extent cx="6840220" cy="4667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firstLine="7"/>
        <w:spacing w:after="0" w:line="245" w:lineRule="auto"/>
        <w:tabs>
          <w:tab w:leader="none" w:pos="222" w:val="left"/>
        </w:tabs>
        <w:numPr>
          <w:ilvl w:val="0"/>
          <w:numId w:val="2"/>
        </w:numPr>
        <w:rPr>
          <w:rFonts w:ascii="Arial" w:cs="Arial" w:eastAsia="Arial" w:hAnsi="Arial"/>
          <w:sz w:val="17"/>
          <w:szCs w:val="17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Pokazuje to, w jaki sposób koszty zmniejszają zwrot z inwestycji każdego roku w okresie utrzymywania.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Na przykład pokazuje to, że jeśli opuścisz zakład w zalecanym okresie utrzymywania, średni roczny zwrot z inwestycji wyniesie 11.0% przed kosztami i 10.7% po kosztach.</w:t>
      </w:r>
    </w:p>
    <w:p>
      <w:pPr>
        <w:sectPr>
          <w:pgSz w:w="11900" w:h="16838" w:orient="portrait"/>
          <w:cols w:equalWidth="0" w:num="1">
            <w:col w:w="10780"/>
          </w:cols>
          <w:pgMar w:left="560" w:top="517" w:right="566" w:bottom="0" w:gutter="0" w:footer="0" w:header="0"/>
        </w:sectPr>
      </w:pP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Struktura kosztów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96520</wp:posOffset>
            </wp:positionV>
            <wp:extent cx="5219700" cy="3740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7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Jednorazowe koszty przy wjeździe lub wyjeździe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1624330</wp:posOffset>
            </wp:positionH>
            <wp:positionV relativeFrom="paragraph">
              <wp:posOffset>52705</wp:posOffset>
            </wp:positionV>
            <wp:extent cx="4763" cy="47371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47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26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Koszty wejścia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0.00%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Wpływ kosztów ponoszonych przy wejściu do inwestycji.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To jest</w:t>
      </w:r>
    </w:p>
    <w:p>
      <w:pPr>
        <w:spacing w:after="0" w:line="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700" w:right="60"/>
        <w:spacing w:after="0" w:line="27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Najwięcej zapłacisz, a będziesz mógł zapłacić mniej.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Wpływ kosztów jest już uwzględniony w cenie.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Obejmuje to koszty dystrybucji produktu.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31115</wp:posOffset>
            </wp:positionV>
            <wp:extent cx="5219700" cy="4763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40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Roczny wpływ na koszty w przypadku wyjścia po 1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-96520</wp:posOffset>
            </wp:positionH>
            <wp:positionV relativeFrom="paragraph">
              <wp:posOffset>-323215</wp:posOffset>
            </wp:positionV>
            <wp:extent cx="1619885" cy="8477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0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-96520</wp:posOffset>
            </wp:positionH>
            <wp:positionV relativeFrom="paragraph">
              <wp:posOffset>292100</wp:posOffset>
            </wp:positionV>
            <wp:extent cx="1619885" cy="4763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3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7940" w:space="440"/>
            <w:col w:w="2400"/>
          </w:cols>
          <w:pgMar w:left="560" w:top="517" w:right="566" w:bottom="0" w:gutter="0" w:footer="0" w:header="0"/>
          <w:type w:val="continuous"/>
        </w:sect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Koszty wyjścia </w:t>
      </w:r>
      <w:r xmlns:w="http://schemas.openxmlformats.org/wordprocessingml/2006/main">
        <w:rPr>
          <w:sz w:val="1"/>
          <w:szCs w:val="1"/>
          <w:color w:val="auto"/>
        </w:rPr>
        <w:drawing>
          <wp:inline xmlns:wp="http://schemas.openxmlformats.org/drawingml/2006/wordprocessingDrawing" distT="0" distB="0" distL="0" distR="0">
            <wp:extent cx="4763" cy="22987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0.00%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Wpływ kosztów wyjścia z inwestycji w momencie jej dojrzewania.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      </w:t>
      </w:r>
      <w:r xmlns:w="http://schemas.openxmlformats.org/wordprocessingml/2006/main">
        <w:rPr>
          <w:sz w:val="1"/>
          <w:szCs w:val="1"/>
          <w:color w:val="auto"/>
        </w:rPr>
        <w:drawing>
          <wp:inline xmlns:wp="http://schemas.openxmlformats.org/drawingml/2006/wordprocessingDrawing" distT="0" distB="0" distL="0" distR="0">
            <wp:extent cx="4763" cy="22987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 0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6840220" cy="37401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37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780"/>
          </w:cols>
          <w:pgMar w:left="560" w:top="517" w:right="566" w:bottom="0" w:gutter="0" w:footer="0" w:header="0"/>
          <w:type w:val="continuous"/>
        </w:sect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Koszty bieżące ponoszone każdego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1624330</wp:posOffset>
            </wp:positionH>
            <wp:positionV relativeFrom="paragraph">
              <wp:posOffset>52705</wp:posOffset>
            </wp:positionV>
            <wp:extent cx="4763" cy="71755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26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Opłaty za zarządzanie i inne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0.35%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Wpływ kosztów, które ponosimy każdego roku za zarządzanie</w:t>
      </w:r>
    </w:p>
    <w:p>
      <w:pPr>
        <w:spacing w:after="0" w:line="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26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administracyjne lub operacyjne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inwestycji.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Będzie to obejmować koszty pożyczania pieniędzy na inwestycje, ale nie jakiekolwiek</w:t>
      </w:r>
    </w:p>
    <w:p>
      <w:pPr>
        <w:spacing w:after="0" w:line="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26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koszty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przychody lub korzyści kapitałowe z tego tytułu, bieżące koszty prowadzenia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700" w:right="320"/>
        <w:spacing w:after="0" w:line="24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spółki, ale nie uzyskanego z niej przychodu, a także bieżących kosztów wszelkich bazowych inwestycji w środki znajdujące się w portfelu Spółki.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48895</wp:posOffset>
            </wp:positionV>
            <wp:extent cx="5219700" cy="35560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5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268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Koszty transakcyjne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auto"/>
        </w:rPr>
        <w:t xml:space="preserve">0.00%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Wpływ kosztów zakupu i sprzedaży przez nas bazowych inwestycji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7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dla produktu.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48260</wp:posOffset>
            </wp:positionV>
            <wp:extent cx="5219700" cy="37401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7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5" w:right="140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Roczny wpływ na koszty w przypadku wyjścia po 1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-92710</wp:posOffset>
            </wp:positionH>
            <wp:positionV relativeFrom="paragraph">
              <wp:posOffset>50165</wp:posOffset>
            </wp:positionV>
            <wp:extent cx="4763" cy="71755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5" w:hanging="225"/>
        <w:spacing w:after="0"/>
        <w:tabs>
          <w:tab w:leader="none" w:pos="225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USD</w:t>
      </w:r>
    </w:p>
    <w:p>
      <w:pPr>
        <w:spacing w:after="0" w:line="200" w:lineRule="exact"/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</w:p>
    <w:p>
      <w:pPr>
        <w:spacing w:after="0" w:line="352" w:lineRule="exact"/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</w:p>
    <w:p>
      <w:pPr xmlns:w="http://schemas.openxmlformats.org/wordprocessingml/2006/main">
        <w:ind w:left="145" w:hanging="145"/>
        <w:spacing w:after="0"/>
        <w:tabs>
          <w:tab w:leader="none" w:pos="145" w:val="left"/>
        </w:tabs>
        <w:numPr>
          <w:ilvl w:val="0"/>
          <w:numId w:val="4"/>
        </w:numPr>
        <w:rPr>
          <w:rFonts w:ascii="Arial" w:cs="Arial" w:eastAsia="Arial" w:hAnsi="Arial"/>
          <w:sz w:val="16"/>
          <w:szCs w:val="16"/>
          <w:b w:val="1"/>
          <w:bCs w:val="1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-92710</wp:posOffset>
            </wp:positionH>
            <wp:positionV relativeFrom="paragraph">
              <wp:posOffset>-183515</wp:posOffset>
            </wp:positionV>
            <wp:extent cx="1619885" cy="72961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72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080" w:space="295"/>
            <w:col w:w="2405"/>
          </w:cols>
          <w:pgMar w:left="560" w:top="517" w:right="566" w:bottom="0" w:gutter="0" w:footer="0" w:header="0"/>
          <w:type w:val="continuous"/>
        </w:sectPr>
      </w:pPr>
    </w:p>
    <w:p>
      <w:pPr xmlns:w="http://schemas.openxmlformats.org/wordprocessingml/2006/main">
        <w:ind w:left="83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63E33"/>
        </w:rPr>
        <w:t xml:space="preserve">Roczny wpływ na koszty po zakończeniu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tabs>
          <w:tab w:leader="none" w:pos="836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Koszty uboczne ponoszone na określonych warunkach</w:t>
        <w:tab xmlns:w="http://schemas.openxmlformats.org/wordprocessingml/2006/main"/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63E33"/>
        </w:rPr>
        <w:t xml:space="preserve">po 1 roku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Opłaty za wyniki </w:t>
      </w:r>
      <w:r xmlns:w="http://schemas.openxmlformats.org/wordprocessingml/2006/main">
        <w:rPr>
          <w:sz w:val="1"/>
          <w:szCs w:val="1"/>
          <w:color w:val="auto"/>
        </w:rPr>
        <w:drawing>
          <wp:inline xmlns:wp="http://schemas.openxmlformats.org/drawingml/2006/wordprocessingDrawing" distT="0" distB="0" distL="0" distR="0">
            <wp:extent cx="4763" cy="22987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Wpływ opłat za wyniki.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przypadku tego funduszu nie ma opłaty za wyniki.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      </w:t>
      </w:r>
      <w:r xmlns:w="http://schemas.openxmlformats.org/wordprocessingml/2006/main">
        <w:rPr>
          <w:sz w:val="1"/>
          <w:szCs w:val="1"/>
          <w:color w:val="auto"/>
        </w:rPr>
        <w:drawing>
          <wp:inline xmlns:wp="http://schemas.openxmlformats.org/drawingml/2006/wordprocessingDrawing" distT="0" distB="0" distL="0" distR="0">
            <wp:extent cx="4763" cy="22987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 0 USD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6840220" cy="4763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Jak długo powinienem go trzymać i czy mogę wcześnie zabrać pieniądze?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Zalecany okres przechowywania: 5 lat</w:t>
      </w:r>
    </w:p>
    <w:p>
      <w:pPr>
        <w:spacing w:after="0" w:line="6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48" w:lineRule="auto"/>
        <w:rPr>
          <w:rFonts w:ascii="Arial" w:cs="Arial" w:eastAsia="Arial" w:hAnsi="Arial"/>
          <w:sz w:val="17"/>
          <w:szCs w:val="17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Fundusz ten jest przeznaczony na inwestycje długoterminowe; powinieneś być przygotowany na pozostanie w inwestycjach przez co najmniej 5 lat.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Możesz jednak w dowolnym momencie w tym okresie zrealizować inwestycję bez ponoszenia kar lub zatrzymać ją dłużej.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Umorzenia są możliwe w każdy dzień roboczy; wypłata zajmie 2 dni robocze.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Cena za dany dzień, odzwierciedlająca rzeczywistą wartość Funduszu, ustalana jest każdego dnia po punkcie wyceny i publikowana na naszej stronie internetowej </w:t>
      </w:r>
      <w:hyperlink r:id="rId17">
        <w:r>
          <w:rPr xmlns:w="http://schemas.openxmlformats.org/wordprocessingml/2006/main">
            <w:rFonts w:ascii="Arial" w:cs="Arial" w:eastAsia="Arial" w:hAnsi="Arial"/>
            <w:sz w:val="17"/>
            <w:szCs w:val="17"/>
            <w:color w:val="auto"/>
          </w:rPr>
          <w:t xml:space="preserve">www.ssga.com.</w:t>
        </w:r>
      </w:hyperlink>
    </w:p>
    <w:p>
      <w:pPr>
        <w:spacing w:after="0" w:line="8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Ponieważ akcje są notowane na giełdzie, możesz kupować lub sprzedawać akcje produktu, bez żadnych kar, w każdym normalnym dniu roboczym.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Prosimy o kontakt z brokerem, doradcą finansowym lub dystrybutorem w celu uzyskania informacji o wszelkich kosztach i opłatach związanych ze sprzedażą akcji.</w:t>
      </w:r>
    </w:p>
    <w:p>
      <w:pPr>
        <w:spacing w:after="0" w:line="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Akcje ETF-ów nabywane na rynku wtórnym nie mogą być z reguły zbyte bezpośrednio na rzecz Spółki.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 W wyjątkowych okolicznościach, czy to w wyniku zakłóceń na rynku wtórnym, czy też w inny sposób, inwestorzy, którzy nabyli Akcje ETF na rynku wtórnym są uprawnieni do wystąpienia do Spółki na piśmie o rejestrację tych Akcji ETF we własnym imieniu, w celu umożliwienia im dostępu do możliwości umorzenia, opisanych w części "Rynek pierwotny".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154305</wp:posOffset>
            </wp:positionV>
            <wp:extent cx="6840220" cy="4763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Jak mogę złożyć skargę?</w:t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Jeśli masz reklamację dotyczącą Funduszu lub Zarządzającego, więcej szczegółów na temat sposobu reklamacji oraz polityki rozpatrywania reklamacji przez Zarządzającego znajdziesz w sekcji "Kontakt" na stronie: www.ssga.com.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154940</wp:posOffset>
            </wp:positionV>
            <wp:extent cx="6840220" cy="4763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3"/>
          <w:szCs w:val="23"/>
          <w:b w:val="1"/>
          <w:bCs w:val="1"/>
          <w:color w:val="263E33"/>
        </w:rPr>
        <w:t xml:space="preserve">Inne istotne informacje</w:t>
      </w:r>
    </w:p>
    <w:p>
      <w:pPr>
        <w:spacing w:after="0" w:line="12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63E33"/>
        </w:rPr>
        <w:t xml:space="preserve">Koszty, wyniki i ryzyko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Obliczenia kosztów, wyników i ryzyka zawarte w niniejszym dokumencie zawierającym kluczowe informacje są zgodne z metodologią określoną w przepisach UE.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Należy zauważyć, że powyższe scenariusze wyników są oparte wyłącznie na wynikach osiągniętych w przeszłości w odniesieniu do ceny akcji Funduszu i że wyniki osiągnięte w przeszłości nie stanowią wskazówki co do przyszłych zwrotów.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W związku z tym Twoja inwestycja może być zagrożona i możesz nie odzyskać przedstawionych zwrotów.</w:t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color w:val="auto"/>
        </w:rPr>
        <w:t xml:space="preserve">Inwestorzy nie powinni opierać swoich decyzji inwestycyjnych wyłącznie na przedstawionych scenariuszach.</w:t>
      </w:r>
    </w:p>
    <w:p>
      <w:pPr>
        <w:spacing w:after="0" w:line="8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63E33"/>
        </w:rPr>
        <w:t xml:space="preserve">Scenariusze wydajności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000000"/>
        </w:rPr>
        <w:t xml:space="preserve"> Możesz zażądać aktualizacji poprzednich scenariuszy wydajności co miesiąc, wysyłając wiadomość e-mail na adres Fund_data_services@ssga.com.</w:t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rFonts w:ascii="Arial" w:cs="Arial" w:eastAsia="Arial" w:hAnsi="Arial"/>
          <w:sz w:val="17"/>
          <w:szCs w:val="17"/>
          <w:b w:val="1"/>
          <w:bCs w:val="1"/>
          <w:color w:val="263E33"/>
        </w:rPr>
      </w:pPr>
      <w:r>
        <w:rPr xmlns:w="http://schemas.openxmlformats.org/wordprocessingml/2006/main">
          <w:rFonts w:ascii="Arial" w:cs="Arial" w:eastAsia="Arial" w:hAnsi="Arial"/>
          <w:sz w:val="17"/>
          <w:szCs w:val="17"/>
          <w:b w:val="1"/>
          <w:bCs w:val="1"/>
          <w:color w:val="263E33"/>
        </w:rPr>
        <w:t xml:space="preserve">Wyniki z przeszłości</w:t>
      </w:r>
      <w:r>
        <w:rPr xmlns:w="http://schemas.openxmlformats.org/wordprocessingml/2006/main">
          <w:rFonts w:ascii="Arial" w:cs="Arial" w:eastAsia="Arial" w:hAnsi="Arial"/>
          <w:sz w:val="17"/>
          <w:szCs w:val="17"/>
          <w:color w:val="000000"/>
        </w:rPr>
        <w:t xml:space="preserve"> Możesz pobrać wyniki z ostatnich 9 lat z naszej strony internetowej pod adresem </w:t>
      </w:r>
      <w:hyperlink r:id="rId17">
        <w:r>
          <w:rPr xmlns:w="http://schemas.openxmlformats.org/wordprocessingml/2006/main">
            <w:rFonts w:ascii="Arial" w:cs="Arial" w:eastAsia="Arial" w:hAnsi="Arial"/>
            <w:sz w:val="17"/>
            <w:szCs w:val="17"/>
            <w:color w:val="000000"/>
          </w:rPr>
          <w:t xml:space="preserve">www.ssga.com.</w:t>
        </w:r>
      </w:hyperlink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587375</wp:posOffset>
            </wp:positionV>
            <wp:extent cx="6840220" cy="698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780"/>
          </w:cols>
          <w:pgMar w:left="560" w:top="517" w:right="566" w:bottom="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Strona 3/3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Dokument zawierający kluczowe informacje 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| 1 stycznia 2023</w:t>
      </w:r>
    </w:p>
    <w:sectPr>
      <w:pgSz w:w="11900" w:h="16838" w:orient="portrait"/>
      <w:cols w:equalWidth="0" w:num="1">
        <w:col w:w="10780"/>
      </w:cols>
      <w:pgMar w:left="560" w:top="517" w:right="566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2E203770"/>
    <w:multiLevelType w:val="hybridMultilevel"/>
    <w:lvl w:ilvl="0">
      <w:lvlJc w:val="left"/>
      <w:lvlText w:val="%1"/>
      <w:numFmt w:val="upperLetter"/>
      <w:start w:val="17"/>
    </w:lvl>
  </w:abstractNum>
  <w:abstractNum w:abstractNumId="1">
    <w:nsid w:val="6DD5CDDC"/>
    <w:multiLevelType w:val="hybridMultilevel"/>
    <w:lvl w:ilvl="0">
      <w:lvlJc w:val="left"/>
      <w:lvlText w:val="(*)"/>
      <w:numFmt w:val="bullet"/>
      <w:start w:val="1"/>
    </w:lvl>
  </w:abstractNum>
  <w:abstractNum w:abstractNumId="2">
    <w:nsid w:val="409271DE"/>
    <w:multiLevelType w:val="hybridMultilevel"/>
    <w:lvl w:ilvl="0">
      <w:lvlJc w:val="left"/>
      <w:lvlText w:val="%1"/>
      <w:numFmt w:val="decimal"/>
      <w:start w:val="35"/>
    </w:lvl>
  </w:abstractNum>
  <w:abstractNum w:abstractNumId="3">
    <w:nsid w:val="3DEC9E6B"/>
    <w:multiLevelType w:val="hybridMultilevel"/>
    <w:lvl w:ilvl="0">
      <w:lvlJc w:val="left"/>
      <w:lvlText w:val="%1"/>
      <w:numFmt w:val="decimal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png"/><Relationship Id="rId23" Type="http://schemas.openxmlformats.org/officeDocument/2006/relationships/image" Target="media/image11.png"/><Relationship Id="rId24" Type="http://schemas.openxmlformats.org/officeDocument/2006/relationships/image" Target="media/image12.png"/><Relationship Id="rId25" Type="http://schemas.openxmlformats.org/officeDocument/2006/relationships/image" Target="media/image13.png"/><Relationship Id="rId26" Type="http://schemas.openxmlformats.org/officeDocument/2006/relationships/image" Target="media/image14.png"/><Relationship Id="rId27" Type="http://schemas.openxmlformats.org/officeDocument/2006/relationships/image" Target="media/image15.png"/><Relationship Id="rId28" Type="http://schemas.openxmlformats.org/officeDocument/2006/relationships/image" Target="media/image16.png"/><Relationship Id="rId29" Type="http://schemas.openxmlformats.org/officeDocument/2006/relationships/image" Target="media/image17.png"/><Relationship Id="rId30" Type="http://schemas.openxmlformats.org/officeDocument/2006/relationships/image" Target="media/image18.png"/><Relationship Id="rId31" Type="http://schemas.openxmlformats.org/officeDocument/2006/relationships/image" Target="media/image19.png"/><Relationship Id="rId32" Type="http://schemas.openxmlformats.org/officeDocument/2006/relationships/image" Target="media/image20.png"/><Relationship Id="rId33" Type="http://schemas.openxmlformats.org/officeDocument/2006/relationships/image" Target="media/image21.png"/><Relationship Id="rId34" Type="http://schemas.openxmlformats.org/officeDocument/2006/relationships/image" Target="media/image22.png"/><Relationship Id="rId35" Type="http://schemas.openxmlformats.org/officeDocument/2006/relationships/image" Target="media/image23.png"/><Relationship Id="rId36" Type="http://schemas.openxmlformats.org/officeDocument/2006/relationships/image" Target="media/image24.png"/><Relationship Id="rId37" Type="http://schemas.openxmlformats.org/officeDocument/2006/relationships/image" Target="media/image25.png"/><Relationship Id="rId38" Type="http://schemas.openxmlformats.org/officeDocument/2006/relationships/image" Target="media/image26.png"/><Relationship Id="rId39" Type="http://schemas.openxmlformats.org/officeDocument/2006/relationships/image" Target="media/image27.png"/><Relationship Id="rId40" Type="http://schemas.openxmlformats.org/officeDocument/2006/relationships/image" Target="media/image28.png"/><Relationship Id="rId41" Type="http://schemas.openxmlformats.org/officeDocument/2006/relationships/image" Target="media/image29.png"/><Relationship Id="rId42" Type="http://schemas.openxmlformats.org/officeDocument/2006/relationships/image" Target="media/image30.png"/><Relationship Id="rId43" Type="http://schemas.openxmlformats.org/officeDocument/2006/relationships/image" Target="media/image31.png"/><Relationship Id="rId44" Type="http://schemas.openxmlformats.org/officeDocument/2006/relationships/image" Target="media/image32.png"/><Relationship Id="rId45" Type="http://schemas.openxmlformats.org/officeDocument/2006/relationships/image" Target="media/image33.png"/><Relationship Id="rId17" Type="http://schemas.openxmlformats.org/officeDocument/2006/relationships/hyperlink" Target="www.ssga.com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2024-05-21T09:46:55Z</dcterms:created>
  <dcterms:modified xsi:type="dcterms:W3CDTF">2024-05-21T09:46:55Z</dcterms:modified>
</cp:coreProperties>
</file>