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463550</wp:posOffset>
                </wp:positionV>
                <wp:extent cx="6774180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74180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6.5pt;width:533.4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463550</wp:posOffset>
                </wp:positionV>
                <wp:extent cx="667956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7956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6.5pt;width:525.9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78688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76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962660</wp:posOffset>
                </wp:positionV>
                <wp:extent cx="678688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5.8pt" to="576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1837690</wp:posOffset>
                </wp:positionV>
                <wp:extent cx="678688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4.7pt" to="576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3052445</wp:posOffset>
                </wp:positionV>
                <wp:extent cx="678688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40.35pt" to="576pt,240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3911600</wp:posOffset>
                </wp:positionV>
                <wp:extent cx="678688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08pt" to="576pt,30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38200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69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7312025</wp:posOffset>
                </wp:positionH>
                <wp:positionV relativeFrom="page">
                  <wp:posOffset>457200</wp:posOffset>
                </wp:positionV>
                <wp:extent cx="0" cy="838200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5.75pt,36pt" to="575.75pt,69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Standardowa Opcja Na Akcje (Krótki Nabór)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773545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3545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33.35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80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Standardowe Opcje Na Akcje W Stanach Zjednoczonych.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przedstawia niniejszy dokument na podstawie Rozporządzenia UE nr 1286/2014 dla standardowych opcji na akcje (a/k/a "opcje notowane").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akcje są notowane i są przedmiotem obrotu na amerykańskich giełdach opcji zarejestrowanych w amerykańskiej Komisji Papierów Wartościowych i Giełd ("SEC") i są emitowane, rozliczane i rozliczane przez OCC, agencję rozliczeniową zarejestrowaną w SEC.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opcji, inwestorzy mogą znaleźć na stronie internetowej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4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standardowymi opcjami na akcje, dopóki nie przeczytają i nie zrozumieją tego dokumentu i powiązanego dokumentu ujawniającego informacje na temat ryzyka,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informacje na temat opcji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20955</wp:posOffset>
                </wp:positionV>
                <wp:extent cx="6773545" cy="491807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3545" cy="491807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65pt;width:533.35pt;height:387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8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Standaryzowana opcja na akcje to prawo do nabycia lub zbycia określonej kwoty lub wartości bazowego papieru wartościowego po ustalonej cenie ("cena wykonania") poprzez wykonanie opcji przed upływem terminu jej ważności.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bazowy papier wartościowy jest zatem pośrednia, ponieważ wartość opcji jest ustalana na podstawie wartości bazowego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wygaśnięcia opcji na akcje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korporacyjne w odniesieniu do bazowego kapitałowego papieru wartościowego może skutkować zmianą warunków opcji zgodnie z zasadami UOKiK, które mogą różnić się od metodyki stosowanej na europejskich rynkach opcji.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mu wykonania opcji - do wykonania zobowiązania zgodnie z warunkami zakupu lub sprzedaży bazowego papieru wartościowego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akcje są zazwyczaj rozliczane fizycznie, ale mogą być również rozliczane w środkach pieniężnych.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Fizyczne rozliczenie daje posiadaczowi prawo do otrzymania (wezwania) lub fizycznej dostawy (sprzedaży) bazowego papieru wartościowego po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rozliczeniu gotówkowym posiadacz ma prawo do otrzymania płatności gotówkowej, jeżeli ustalona wartość bazowego papieru wartościowego w momencie wykonania przekracza (wezwanie) lub jest niższa od (sprzedaż)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bazowego papieru wartościowego i jego podatność na wahania cen (zmienność).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17780</wp:posOffset>
                </wp:positionV>
                <wp:extent cx="678624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6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pt" to="529pt,1.4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480"/>
          </w:cols>
          <w:pgMar w:left="940" w:top="699" w:right="82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78688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76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913130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131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5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7312025</wp:posOffset>
                </wp:positionH>
                <wp:positionV relativeFrom="page">
                  <wp:posOffset>457200</wp:posOffset>
                </wp:positionV>
                <wp:extent cx="0" cy="913130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131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5.75pt,36pt" to="575.75pt,75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warunków opcji,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0" w:hanging="214"/>
        <w:spacing w:after="0" w:line="22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Od podmiotu wystawiającego opcje można wymagać, aby spełnił obowiązek zakupu lub sprzedaży udziałów bazowych w każdym czasie, w którym opcja jest wykonalna ze względu na jej styl.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sporządzająca opcje kupna, która nie jest właścicielem bazowego papieru wartościowego (wezwanie niezabezpieczone), ponosi ryzyko potencjalnie nieograniczonej straty w miarę wzrostu ceny bazowego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sporządzająca opcje sprzedaży ponosi ryzyko straty równej różnicy między ceną realizacji opcji sprzedaży a zerem, jeżeli cena bazowego papieru wartościowego spadnie do zera.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Podmioty zapisujące takie niepokryte wezwania i transakcje sprzedaży są zobowiązane do wniesienia depozytu zabezpieczającego (opisanego poniżej) u swojego brokera, co stwarza dodatkowe ryzyko.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16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cenami bazowych lub powiązanych z nimi udziałów.</w:t>
      </w:r>
    </w:p>
    <w:p>
      <w:pPr>
        <w:spacing w:after="0" w:line="7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60" w:hanging="214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bazowy papier wartościowy wykonanej opcji, który jest fizycznie rozliczany, jest niedostępny, zasady UOKiK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0" w:hanging="214"/>
        <w:spacing w:after="0" w:line="21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handlem lub korzystaniem z opcji będą rozliczane w dolarach amerykańskich, a w konsekwencji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10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8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21590</wp:posOffset>
            </wp:positionH>
            <wp:positionV relativeFrom="paragraph">
              <wp:posOffset>14605</wp:posOffset>
            </wp:positionV>
            <wp:extent cx="6591300" cy="157861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1578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21590</wp:posOffset>
            </wp:positionH>
            <wp:positionV relativeFrom="paragraph">
              <wp:posOffset>14605</wp:posOffset>
            </wp:positionV>
            <wp:extent cx="6591300" cy="157861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1578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460"/>
          </w:cols>
          <w:pgMar w:left="940" w:top="706" w:right="840" w:bottom="210" w:gutter="0" w:footer="0" w:header="0"/>
        </w:sectPr>
      </w:pPr>
    </w:p>
    <w:p>
      <w:pPr>
        <w:spacing w:after="0" w:line="177" w:lineRule="exact"/>
        <w:rPr>
          <w:sz w:val="20"/>
          <w:szCs w:val="20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20" w:type="dxa"/>
            <w:vAlign w:val="bottom"/>
            <w:gridSpan w:val="5"/>
          </w:tcPr>
          <w:p>
            <w:pPr xmlns:w="http://schemas.openxmlformats.org/wordprocessingml/2006/main">
              <w:jc w:val="right"/>
              <w:ind w:right="3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 pisania połączenia (Premium $5; Cena ćwiczenia $45)</w:t>
            </w: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0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2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2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16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94"/>
              </w:rPr>
              <w:t xml:space="preserve">P/L</w:t>
            </w: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2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- 20 USD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"/>
        </w:trPr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2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- 40 USD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2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- 60 USD</w:t>
            </w: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3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980" w:type="dxa"/>
            <w:vAlign w:val="bottom"/>
          </w:tcPr>
          <w:p>
            <w:pPr xmlns:w="http://schemas.openxmlformats.org/wordprocessingml/2006/main">
              <w:jc w:val="right"/>
              <w:ind w:right="15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760" w:type="dxa"/>
            <w:vAlign w:val="bottom"/>
          </w:tcPr>
          <w:p>
            <w:pPr xmlns:w="http://schemas.openxmlformats.org/wordprocessingml/2006/main"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40 $</w:t>
            </w:r>
          </w:p>
        </w:tc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1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60 $</w:t>
            </w:r>
          </w:p>
        </w:tc>
        <w:tc>
          <w:tcPr>
            <w:tcW w:w="740" w:type="dxa"/>
            <w:vAlign w:val="bottom"/>
          </w:tcPr>
          <w:p>
            <w:pPr xmlns:w="http://schemas.openxmlformats.org/wordprocessingml/2006/main"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80 $</w:t>
            </w: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1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100 $</w:t>
            </w:r>
          </w:p>
        </w:tc>
        <w:tc>
          <w:tcPr>
            <w:tcW w:w="5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120 $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60" w:type="dxa"/>
            <w:vAlign w:val="bottom"/>
            <w:gridSpan w:val="3"/>
          </w:tcPr>
          <w:p>
            <w:pPr xmlns:w="http://schemas.openxmlformats.org/wordprocessingml/2006/main"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Cena rynkowa instrumentu bazowego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5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58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 / L Stressed Market Underlying Move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 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$100</w: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3"/>
        <w:spacing w:after="0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$50</w:t>
      </w:r>
    </w:p>
    <w:p>
      <w:pPr xmlns:w="http://schemas.openxmlformats.org/wordprocessingml/2006/main">
        <w:ind w:left="140"/>
        <w:spacing w:after="0" w:line="211" w:lineRule="auto"/>
        <w:tabs>
          <w:tab w:leader="none" w:pos="172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+ 50 $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2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Umiarkowany Ruch Rynkowy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00B050"/>
        </w:rPr>
        <w:t xml:space="preserve">Green Plot Point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 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$60</w: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3"/>
        <w:spacing w:after="0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$10</w:t>
      </w:r>
    </w:p>
    <w:p>
      <w:pPr xmlns:w="http://schemas.openxmlformats.org/wordprocessingml/2006/main">
        <w:ind w:left="140"/>
        <w:spacing w:after="0" w:line="207" w:lineRule="auto"/>
        <w:tabs>
          <w:tab w:leader="none" w:pos="176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+ 10 USD</w:t>
      </w:r>
    </w:p>
    <w:p>
      <w:pPr>
        <w:spacing w:after="0" w:line="3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40"/>
        <w:spacing w:after="0" w:line="2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plus premia.</w:t>
      </w: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900" w:space="480"/>
            <w:col w:w="4080"/>
          </w:cols>
          <w:pgMar w:left="940" w:top="706" w:right="840" w:bottom="210" w:gutter="0" w:footer="0" w:header="0"/>
          <w:type w:val="continuous"/>
        </w:sectPr>
      </w:pPr>
    </w:p>
    <w:p>
      <w:pPr>
        <w:spacing w:after="0" w:line="15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otrzymasz, będzie się różnić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 lub dystrybutorowi i nie uwzględniają Twojej osobistej sytuacji podatkowej, która może mieć również wpływ na to, ile otrzymasz.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19050</wp:posOffset>
                </wp:positionV>
                <wp:extent cx="678624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62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5pt" to="529pt,1.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460"/>
          </w:cols>
          <w:pgMar w:left="940" w:top="706" w:right="840" w:bottom="210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spacing w:after="0" w:line="202" w:lineRule="auto"/>
        <w:framePr w:w="1360" w:h="134" w:wrap="auto" w:vAnchor="page" w:hAnchor="page" w:x="6260" w:y="9075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Opłaty za wyniki</w:t>
      </w:r>
    </w:p>
    <w:p>
      <w:pPr xmlns:w="http://schemas.openxmlformats.org/wordprocessingml/2006/main">
        <w:spacing w:after="0" w:line="202" w:lineRule="auto"/>
        <w:framePr w:w="480" w:h="134" w:wrap="auto" w:vAnchor="page" w:hAnchor="page" w:x="7780" w:y="9075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Brak</w:t>
      </w:r>
    </w:p>
    <w:p>
      <w:pPr xmlns:w="http://schemas.openxmlformats.org/wordprocessingml/2006/main">
        <w:spacing w:after="0" w:line="202" w:lineRule="auto"/>
        <w:framePr w:w="360" w:h="134" w:wrap="auto" w:vAnchor="page" w:hAnchor="page" w:x="9940" w:y="9075"/>
        <w:rPr>
          <w:rFonts w:ascii="Calibri" w:cs="Calibri" w:eastAsia="Calibri" w:hAnsi="Calibri"/>
          <w:sz w:val="13"/>
          <w:szCs w:val="13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</w:rPr>
        <w:t xml:space="preserve">NIE DOTYCZY</w:t>
      </w:r>
    </w:p>
    <w:p>
      <w:pPr xmlns:w="http://schemas.openxmlformats.org/wordprocessingml/2006/main">
        <w:spacing w:after="0" w:line="202" w:lineRule="auto"/>
        <w:framePr w:w="3520" w:h="134" w:wrap="auto" w:vAnchor="page" w:hAnchor="page" w:x="6260" w:y="8768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uboczne ponoszone na określonych warunkach</w:t>
      </w:r>
    </w:p>
    <w:p>
      <w:pPr xmlns:w="http://schemas.openxmlformats.org/wordprocessingml/2006/main">
        <w:spacing w:after="0" w:line="202" w:lineRule="auto"/>
        <w:framePr w:w="1340" w:h="134" w:wrap="auto" w:vAnchor="page" w:hAnchor="page" w:x="6260" w:y="8458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Koszty transakcyjne</w:t>
      </w:r>
    </w:p>
    <w:p>
      <w:pPr xmlns:w="http://schemas.openxmlformats.org/wordprocessingml/2006/main">
        <w:spacing w:after="0" w:line="192" w:lineRule="auto"/>
        <w:framePr w:w="780" w:h="352" w:wrap="auto" w:vAnchor="page" w:hAnchor="page" w:x="9940" w:y="8240"/>
        <w:rPr>
          <w:rFonts w:ascii="Calibri" w:cs="Calibri" w:eastAsia="Calibri" w:hAnsi="Calibri"/>
          <w:sz w:val="18"/>
          <w:szCs w:val="18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Zmienna (w toku)</w:t>
      </w:r>
    </w:p>
    <w:p>
      <w:pPr xmlns:w="http://schemas.openxmlformats.org/wordprocessingml/2006/main">
        <w:spacing w:after="0" w:line="220" w:lineRule="auto"/>
        <w:framePr w:w="1960" w:h="573" w:wrap="auto" w:vAnchor="page" w:hAnchor="page" w:x="7780" w:y="8019"/>
        <w:rPr>
          <w:rFonts w:ascii="Calibri" w:cs="Calibri" w:eastAsia="Calibri" w:hAnsi="Calibri"/>
          <w:sz w:val="17"/>
          <w:szCs w:val="17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auto"/>
          <w:highlight w:val="lightGray"/>
        </w:rPr>
        <w:t xml:space="preserve">Depozyt zabezpieczający (wymagania mogą ulec zmianie i mogą różnić się w 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zależności od rodzaju działalności maklerskiej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auto"/>
          <w:highlight w:val="lightGray"/>
        </w:rPr>
        <w:t xml:space="preserve">)</w:t>
      </w:r>
    </w:p>
    <w:p>
      <w:pPr xmlns:w="http://schemas.openxmlformats.org/wordprocessingml/2006/main">
        <w:spacing w:after="0" w:line="202" w:lineRule="auto"/>
        <w:framePr w:w="360" w:h="134" w:wrap="auto" w:vAnchor="page" w:hAnchor="page" w:x="9940" w:y="7779"/>
        <w:rPr>
          <w:rFonts w:ascii="Calibri" w:cs="Calibri" w:eastAsia="Calibri" w:hAnsi="Calibri"/>
          <w:sz w:val="13"/>
          <w:szCs w:val="13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color w:val="auto"/>
          <w:highlight w:val="lightGray"/>
        </w:rPr>
        <w:t xml:space="preserve">NIE DOTYCZY</w:t>
      </w:r>
    </w:p>
    <w:p>
      <w:pPr xmlns:w="http://schemas.openxmlformats.org/wordprocessingml/2006/main">
        <w:spacing w:after="0" w:line="192" w:lineRule="auto"/>
        <w:framePr w:w="1900" w:h="352" w:wrap="auto" w:vAnchor="page" w:hAnchor="page" w:x="7780" w:y="7561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Nie ma 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opłaty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  <w:highlight w:val="lightGray"/>
        </w:rPr>
        <w:t xml:space="preserve"> za zarządzanie</w:t>
      </w:r>
    </w:p>
    <w:p>
      <w:pPr xmlns:w="http://schemas.openxmlformats.org/wordprocessingml/2006/main">
        <w:spacing w:after="0" w:line="202" w:lineRule="auto"/>
        <w:framePr w:w="1120" w:h="134" w:wrap="auto" w:vAnchor="page" w:hAnchor="page" w:x="6260" w:y="6881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Koszty Bieżące</w:t>
      </w:r>
    </w:p>
    <w:p>
      <w:pPr xmlns:w="http://schemas.openxmlformats.org/wordprocessingml/2006/main">
        <w:spacing w:after="0" w:line="228" w:lineRule="auto"/>
        <w:framePr w:w="1320" w:h="791" w:wrap="auto" w:vAnchor="page" w:hAnchor="page" w:x="6260" w:y="7121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Opłaty za zarządzanie i inne koszty administracyjne lub operacyjne</w:t>
      </w:r>
    </w:p>
    <w:p>
      <w:pPr xmlns:w="http://schemas.openxmlformats.org/wordprocessingml/2006/main">
        <w:spacing w:after="0" w:line="193" w:lineRule="auto"/>
        <w:framePr w:w="1220" w:h="355" w:wrap="auto" w:vAnchor="page" w:hAnchor="page" w:x="9940" w:y="6661"/>
        <w:rPr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u w:val="single" w:color="auto"/>
          <w:color w:val="auto"/>
          <w:highlight w:val="lightGray"/>
        </w:rPr>
        <w:t xml:space="preserve">Kwota (w dowolnym momencie)</w:t>
      </w:r>
    </w:p>
    <w:p>
      <w:pPr xmlns:w="http://schemas.openxmlformats.org/wordprocessingml/2006/main">
        <w:spacing w:after="0" w:line="202" w:lineRule="auto"/>
        <w:framePr w:w="1720" w:h="134" w:wrap="auto" w:vAnchor="page" w:hAnchor="page" w:x="7780" w:y="6423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Premium, Komisja</w:t>
      </w:r>
    </w:p>
    <w:p>
      <w:pPr xmlns:w="http://schemas.openxmlformats.org/wordprocessingml/2006/main">
        <w:spacing w:after="0" w:line="202" w:lineRule="auto"/>
        <w:framePr w:w="680" w:h="134" w:wrap="auto" w:vAnchor="page" w:hAnchor="page" w:x="9940" w:y="6423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02" w:lineRule="auto"/>
        <w:framePr w:w="680" w:h="134" w:wrap="auto" w:vAnchor="page" w:hAnchor="page" w:x="9940" w:y="5744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Zmienna</w:t>
      </w:r>
    </w:p>
    <w:p>
      <w:pPr xmlns:w="http://schemas.openxmlformats.org/wordprocessingml/2006/main">
        <w:spacing w:after="0" w:line="221" w:lineRule="auto"/>
        <w:framePr w:w="1260" w:h="575" w:wrap="auto" w:vAnchor="page" w:hAnchor="page" w:x="6260" w:y="5302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wejścia (na transakcję - otwarcie (wejście))</w:t>
      </w:r>
    </w:p>
    <w:p>
      <w:pPr xmlns:w="http://schemas.openxmlformats.org/wordprocessingml/2006/main">
        <w:spacing w:after="0" w:line="221" w:lineRule="auto"/>
        <w:framePr w:w="1120" w:h="575" w:wrap="auto" w:vAnchor="page" w:hAnchor="page" w:x="6260" w:y="5981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Koszty wyjścia (na transakcję - zamknięcie (wyjście))</w:t>
      </w:r>
    </w:p>
    <w:p>
      <w:pPr xmlns:w="http://schemas.openxmlformats.org/wordprocessingml/2006/main">
        <w:spacing w:after="0" w:line="229" w:lineRule="auto"/>
        <w:framePr w:w="1920" w:h="794" w:wrap="auto" w:vAnchor="page" w:hAnchor="page" w:x="7780" w:y="5084"/>
        <w:rPr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  <w:highlight w:val="lightGray"/>
        </w:rPr>
        <w:t xml:space="preserve">Premia (ustalana przez kupującego i sprzedającego), prowizja (ustalana przez biuro maklerskie)</w:t>
      </w:r>
    </w:p>
    <w:p>
      <w:pPr xmlns:w="http://schemas.openxmlformats.org/wordprocessingml/2006/main">
        <w:spacing w:after="0" w:line="202" w:lineRule="auto"/>
        <w:framePr w:w="1240" w:h="134" w:wrap="auto" w:vAnchor="page" w:hAnchor="page" w:x="9940" w:y="4844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Kwota (początkowa)</w:t>
      </w:r>
    </w:p>
    <w:p>
      <w:pPr xmlns:w="http://schemas.openxmlformats.org/wordprocessingml/2006/main">
        <w:spacing w:after="0" w:line="202" w:lineRule="auto"/>
        <w:framePr w:w="2400" w:h="134" w:wrap="auto" w:vAnchor="page" w:hAnchor="page" w:x="6260" w:y="4844"/>
        <w:rPr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u w:val="single" w:color="auto"/>
          <w:color w:val="auto"/>
          <w:highlight w:val="lightGray"/>
        </w:rPr>
        <w:t xml:space="preserve">Jednorazowe koszty przy wjeździe lub wyjeździe</w:t>
      </w:r>
    </w:p>
    <w:p>
      <w:pPr xmlns:w="http://schemas.openxmlformats.org/wordprocessingml/2006/main">
        <w:spacing w:after="0" w:line="189" w:lineRule="auto"/>
        <w:framePr w:w="1640" w:h="125" w:wrap="auto" w:vAnchor="page" w:hAnchor="page" w:x="6260" w:y="4581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Struktura kosztów</w:t>
      </w:r>
    </w:p>
    <w:p>
      <w:pPr xmlns:w="http://schemas.openxmlformats.org/wordprocessingml/2006/main">
        <w:spacing w:after="0" w:line="202" w:lineRule="auto"/>
        <w:framePr w:w="1500" w:h="134" w:wrap="auto" w:vAnchor="page" w:hAnchor="page" w:x="6260" w:y="4054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Roczny wpływ na koszty</w:t>
      </w:r>
    </w:p>
    <w:p>
      <w:pPr xmlns:w="http://schemas.openxmlformats.org/wordprocessingml/2006/main">
        <w:spacing w:after="0" w:line="202" w:lineRule="auto"/>
        <w:framePr w:w="640" w:h="134" w:wrap="auto" w:vAnchor="page" w:hAnchor="page" w:x="9940" w:y="4054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202" w:lineRule="auto"/>
        <w:framePr w:w="880" w:h="134" w:wrap="auto" w:vAnchor="page" w:hAnchor="page" w:x="6260" w:y="3783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ogółem</w:t>
      </w:r>
    </w:p>
    <w:p>
      <w:pPr xmlns:w="http://schemas.openxmlformats.org/wordprocessingml/2006/main">
        <w:spacing w:after="0" w:line="202" w:lineRule="auto"/>
        <w:framePr w:w="640" w:h="134" w:wrap="auto" w:vAnchor="page" w:hAnchor="page" w:x="9940" w:y="3783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Różne</w:t>
      </w:r>
    </w:p>
    <w:p>
      <w:pPr xmlns:w="http://schemas.openxmlformats.org/wordprocessingml/2006/main">
        <w:spacing w:after="0" w:line="189" w:lineRule="auto"/>
        <w:framePr w:w="1280" w:h="125" w:wrap="auto" w:vAnchor="page" w:hAnchor="page" w:x="6260" w:y="3523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Koszty W Czasie</w:t>
      </w:r>
    </w:p>
    <w:p>
      <w:pPr xmlns:w="http://schemas.openxmlformats.org/wordprocessingml/2006/main">
        <w:spacing w:after="0" w:line="202" w:lineRule="auto"/>
        <w:framePr w:w="800" w:h="134" w:wrap="auto" w:vAnchor="page" w:hAnchor="page" w:x="9940" w:y="3514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 xmlns:w="http://schemas.openxmlformats.org/wordprocessingml/2006/main"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w:t xml:space="preserve">Zakończenie pracy</w:t>
      </w:r>
    </w:p>
    <w:p>
      <w:pPr xmlns:w="http://schemas.openxmlformats.org/wordprocessingml/2006/main">
        <w:ind w:left="220" w:right="2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459740</wp:posOffset>
                </wp:positionV>
                <wp:extent cx="678688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6.2pt" to="576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3931920</wp:posOffset>
                </wp:positionH>
                <wp:positionV relativeFrom="page">
                  <wp:posOffset>2188210</wp:posOffset>
                </wp:positionV>
                <wp:extent cx="2330450" cy="15875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330450" cy="15875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2" o:spid="_x0000_s1047" style="position:absolute;margin-left:309.6pt;margin-top:172.3pt;width:183.5pt;height:12.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3994150</wp:posOffset>
                </wp:positionH>
                <wp:positionV relativeFrom="page">
                  <wp:posOffset>2206625</wp:posOffset>
                </wp:positionV>
                <wp:extent cx="2205355" cy="13970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205355" cy="13970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3" o:spid="_x0000_s1048" style="position:absolute;margin-left:314.5pt;margin-top:173.75pt;width:173.65pt;height:1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6268085</wp:posOffset>
                </wp:positionH>
                <wp:positionV relativeFrom="page">
                  <wp:posOffset>2188210</wp:posOffset>
                </wp:positionV>
                <wp:extent cx="958850" cy="15875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58850" cy="15875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4" o:spid="_x0000_s1049" style="position:absolute;margin-left:493.55pt;margin-top:172.3pt;width:75.5pt;height:12.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6336665</wp:posOffset>
                </wp:positionH>
                <wp:positionV relativeFrom="page">
                  <wp:posOffset>2206625</wp:posOffset>
                </wp:positionV>
                <wp:extent cx="828675" cy="13970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828675" cy="13970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5" o:spid="_x0000_s1050" style="position:absolute;margin-left:498.95pt;margin-top:173.75pt;width:65.25pt;height:1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DADADA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3919220</wp:posOffset>
                </wp:positionH>
                <wp:positionV relativeFrom="page">
                  <wp:posOffset>2180590</wp:posOffset>
                </wp:positionV>
                <wp:extent cx="332105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8.6pt,171.7pt" to="570.1pt,171.7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3919220</wp:posOffset>
                </wp:positionH>
                <wp:positionV relativeFrom="page">
                  <wp:posOffset>2352675</wp:posOffset>
                </wp:positionV>
                <wp:extent cx="332105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8.6pt,185.25pt" to="570.1pt,185.2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3919220</wp:posOffset>
                </wp:positionH>
                <wp:positionV relativeFrom="page">
                  <wp:posOffset>2523490</wp:posOffset>
                </wp:positionV>
                <wp:extent cx="332105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8.6pt,198.7pt" to="570.1pt,198.7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6269355</wp:posOffset>
                </wp:positionH>
                <wp:positionV relativeFrom="page">
                  <wp:posOffset>2168525</wp:posOffset>
                </wp:positionV>
                <wp:extent cx="0" cy="52705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3.65pt,170.75pt" to="493.65pt,212.25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7233920</wp:posOffset>
                </wp:positionH>
                <wp:positionV relativeFrom="page">
                  <wp:posOffset>2168525</wp:posOffset>
                </wp:positionV>
                <wp:extent cx="0" cy="52705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9.6pt,170.75pt" to="569.6pt,212.25pt" o:allowincell="f" strokecolor="#000000" strokeweight="0.96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3925570</wp:posOffset>
                </wp:positionH>
                <wp:positionV relativeFrom="page">
                  <wp:posOffset>2168525</wp:posOffset>
                </wp:positionV>
                <wp:extent cx="0" cy="52705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527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09.1pt,170.75pt" to="309.1pt,212.25pt" o:allowincell="f" strokecolor="#000000" strokeweight="0.95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2171700</wp:posOffset>
                </wp:positionV>
                <wp:extent cx="6786880" cy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71pt" to="576pt,171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6271260</wp:posOffset>
                </wp:positionV>
                <wp:extent cx="6786880" cy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493.8pt" to="576pt,493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7811770</wp:posOffset>
                </wp:positionV>
                <wp:extent cx="6786880" cy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15.1pt" to="576pt,615.1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457200</wp:posOffset>
                </wp:positionV>
                <wp:extent cx="0" cy="8729345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293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6pt" to="41.85pt,723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7312025</wp:posOffset>
                </wp:positionH>
                <wp:positionV relativeFrom="page">
                  <wp:posOffset>457200</wp:posOffset>
                </wp:positionV>
                <wp:extent cx="0" cy="8729345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293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5.75pt,36pt" to="575.75pt,723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każdej kwoty należnej.</w:t>
      </w:r>
    </w:p>
    <w:p>
      <w:pPr>
        <w:spacing w:after="0" w:line="7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5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Jakie są koszty?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Osoba doradzająca lub sprzedająca Ci ten produkt może naliczyć Ci inne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Jeśli tak, to</w:t>
      </w:r>
    </w:p>
    <w:p>
      <w:pPr>
        <w:spacing w:after="0" w:line="6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6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Osoba ta poinformuje Cię o tych kosztach i o tym, jak wpływają one na Twoją inwestycję.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Kruszywo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-149860</wp:posOffset>
                </wp:positionV>
                <wp:extent cx="3321050" cy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-11.7999pt" to="534.1pt,-11.7999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17780</wp:posOffset>
                </wp:positionV>
                <wp:extent cx="3295015" cy="158115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015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" o:spid="_x0000_s1063" style="position:absolute;margin-left:273.6pt;margin-top:1.4pt;width:259.4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36830</wp:posOffset>
                </wp:positionV>
                <wp:extent cx="3171190" cy="139065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190" cy="13906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9" o:spid="_x0000_s1064" style="position:absolute;margin-left:278.5pt;margin-top:2.9pt;width:249.7pt;height:1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13970</wp:posOffset>
                </wp:positionV>
                <wp:extent cx="3321050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1.1pt" to="534.1pt,1.1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181610</wp:posOffset>
                </wp:positionV>
                <wp:extent cx="3321050" cy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14.3pt" to="534.1pt,14.3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354330</wp:posOffset>
                </wp:positionV>
                <wp:extent cx="3321050" cy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27.9pt" to="534.1pt,27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925830</wp:posOffset>
                </wp:positionV>
                <wp:extent cx="3321050" cy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72.9pt" to="534.1pt,72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347980</wp:posOffset>
                </wp:positionV>
                <wp:extent cx="0" cy="101473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47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9.65pt,27.4pt" to="349.65pt,107.3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1356995</wp:posOffset>
                </wp:positionV>
                <wp:extent cx="3321050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106.85pt" to="534.1pt,106.85pt" o:allowincell="f" strokecolor="#000000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1647825</wp:posOffset>
                </wp:positionV>
                <wp:extent cx="3321050" cy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129.75pt" to="534.1pt,129.7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2218055</wp:posOffset>
                </wp:positionV>
                <wp:extent cx="3321050" cy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174.65pt" to="534.1pt,174.65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1642110</wp:posOffset>
                </wp:positionV>
                <wp:extent cx="0" cy="101346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13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9.65pt,129.3pt" to="349.65pt,209.1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2649220</wp:posOffset>
                </wp:positionV>
                <wp:extent cx="3321050" cy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208.6pt" to="534.1pt,208.6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2846070</wp:posOffset>
                </wp:positionV>
                <wp:extent cx="3321050" cy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224.1pt" to="534.1pt,224.1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3468370</wp:posOffset>
                </wp:positionH>
                <wp:positionV relativeFrom="paragraph">
                  <wp:posOffset>11430</wp:posOffset>
                </wp:positionV>
                <wp:extent cx="0" cy="303530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5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3.1pt,0.9pt" to="273.1pt,239.9pt" o:allowincell="f" strokecolor="#000000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6776720</wp:posOffset>
                </wp:positionH>
                <wp:positionV relativeFrom="paragraph">
                  <wp:posOffset>11430</wp:posOffset>
                </wp:positionV>
                <wp:extent cx="0" cy="303530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35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33.6pt,0.9pt" to="533.6pt,239.9pt" o:allowincell="f" strokecolor="#000000" strokeweight="0.96pt"/>
            </w:pict>
          </mc:Fallback>
        </mc:AlternateContent>
      </w:r>
    </w:p>
    <w:p>
      <w:pPr>
        <w:spacing w:after="0" w:line="48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4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Koszty standardowych opcji na akcje zależą od wielu czynników.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Premia opcyjna to koszt zapłacony przez posiadacza na rzecz podmiotu zapisującego.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mające istotny wpływ na premię obejmują między innymi wartość bazową kapitału własnego, czas do wygaśnięcia opcji oraz cenę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opcje wiąże się z dodatkowymi kosztami, które obejmują kwestie podatkowe, koszty transakcji i wymogi dotyczące marży, które mogą znacząco wpłynąć na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Koszty transakcyjne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-1342390</wp:posOffset>
                </wp:positionV>
                <wp:extent cx="2330450" cy="158115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0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3" o:spid="_x0000_s1078" style="position:absolute;margin-left:273.6pt;margin-top:-105.6999pt;width:183.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-1324610</wp:posOffset>
                </wp:positionV>
                <wp:extent cx="2205355" cy="140335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35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4" o:spid="_x0000_s1079" style="position:absolute;margin-left:278.5pt;margin-top:-104.2999pt;width:173.6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5810885</wp:posOffset>
                </wp:positionH>
                <wp:positionV relativeFrom="paragraph">
                  <wp:posOffset>-1342390</wp:posOffset>
                </wp:positionV>
                <wp:extent cx="958850" cy="158115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1581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5" o:spid="_x0000_s1080" style="position:absolute;margin-left:457.55pt;margin-top:-105.6999pt;width:75.5pt;height:12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5879465</wp:posOffset>
                </wp:positionH>
                <wp:positionV relativeFrom="paragraph">
                  <wp:posOffset>-1324610</wp:posOffset>
                </wp:positionV>
                <wp:extent cx="828675" cy="140335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4033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6" o:spid="_x0000_s1081" style="position:absolute;margin-left:462.95pt;margin-top:-104.2999pt;width:65.25pt;height:11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-168910</wp:posOffset>
                </wp:positionV>
                <wp:extent cx="2330450" cy="27813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0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7" o:spid="_x0000_s1082" style="position:absolute;margin-left:273.6pt;margin-top:-13.2999pt;width:183.5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3536950</wp:posOffset>
                </wp:positionH>
                <wp:positionV relativeFrom="paragraph">
                  <wp:posOffset>-21590</wp:posOffset>
                </wp:positionV>
                <wp:extent cx="2205355" cy="130175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355" cy="13017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8" o:spid="_x0000_s1083" style="position:absolute;margin-left:278.5pt;margin-top:-1.6999pt;width:173.65pt;height:10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5810885</wp:posOffset>
                </wp:positionH>
                <wp:positionV relativeFrom="paragraph">
                  <wp:posOffset>-168910</wp:posOffset>
                </wp:positionV>
                <wp:extent cx="958850" cy="27813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27813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9" o:spid="_x0000_s1084" style="position:absolute;margin-left:457.55pt;margin-top:-13.2999pt;width:75.5pt;height:21.9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5810885</wp:posOffset>
                </wp:positionH>
                <wp:positionV relativeFrom="paragraph">
                  <wp:posOffset>1123950</wp:posOffset>
                </wp:positionV>
                <wp:extent cx="958850" cy="18288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18288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0" o:spid="_x0000_s1085" style="position:absolute;margin-left:457.55pt;margin-top:88.5pt;width:75.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5879465</wp:posOffset>
                </wp:positionH>
                <wp:positionV relativeFrom="paragraph">
                  <wp:posOffset>1170940</wp:posOffset>
                </wp:positionV>
                <wp:extent cx="828675" cy="13589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3589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1" o:spid="_x0000_s1086" style="position:absolute;margin-left:462.95pt;margin-top:92.2pt;width:65.25pt;height:10.7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ADADA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5812155</wp:posOffset>
                </wp:positionH>
                <wp:positionV relativeFrom="paragraph">
                  <wp:posOffset>-1356360</wp:posOffset>
                </wp:positionV>
                <wp:extent cx="0" cy="287020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870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57.65pt,-106.7999pt" to="457.65pt,119.2pt" o:allowincell="f" strokecolor="#000000" strokeweight="0.9599pt"/>
            </w:pict>
          </mc:Fallback>
        </mc:AlternateContent>
      </w:r>
    </w:p>
    <w:p>
      <w:pPr>
        <w:spacing w:after="0" w:line="5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44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składają się głównie z prowizji (które są nakładane w transakcjach otwarcia, zamknięcia, wykonania i cesji), ale mogą również obejmować koszty marży i odsetek.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Depozyt zabezpieczający oznacza aktywa, które emitent musi zdeponować w swojej firmie maklerskiej jako zabezpieczenie zobowiązania, stosownie do przypadku, do zakupu lub sprzedaży bazowych odsetek lub zapłaty kwoty rozliczenia gotówkowego.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wykonania i przypisania opcji emitent może ponieść dodatkowe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-55880</wp:posOffset>
                </wp:positionV>
                <wp:extent cx="0" cy="206375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06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49.65pt,-4.3999pt" to="349.65pt,11.85pt" o:allowincell="f" strokecolor="#000000" strokeweight="0.9599pt"/>
            </w:pict>
          </mc:Fallback>
        </mc:AlternateContent>
      </w: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koszty.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-28575</wp:posOffset>
                </wp:positionV>
                <wp:extent cx="3321050" cy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2.6pt,-2.2499pt" to="534.1pt,-2.2499pt" o:allowincell="f" strokecolor="#000000" strokeweight="0.9599pt"/>
            </w:pict>
          </mc:Fallback>
        </mc:AlternateContent>
      </w:r>
    </w:p>
    <w:p>
      <w:pPr>
        <w:spacing w:after="0" w:line="4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jest dla posiadacza kluczową decyzją inwestycyjną, podobnie jak decyzja zarówno posiadaczy opcji, jak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kontrakt (kontrakty) opcyjne, czy też zamknąć istniejącą pozycję opcyjną.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opcyjną,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220" w:right="50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 lub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).</w:t>
      </w:r>
    </w:p>
    <w:p>
      <w:pPr>
        <w:spacing w:after="0" w:line="1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ind w:left="340"/>
        <w:spacing w:after="0"/>
        <w:tabs>
          <w:tab w:leader="none" w:pos="522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Centrum Reklamacji Inwestorów FINRA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USA.</w:t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 Komisja Papierów Wartościowych i Giełd</w:t>
      </w:r>
    </w:p>
    <w:p>
      <w:pPr xmlns:w="http://schemas.openxmlformats.org/wordprocessingml/2006/main">
        <w:ind w:left="380"/>
        <w:spacing w:after="0"/>
        <w:tabs>
          <w:tab w:leader="none" w:pos="522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9509 Key West Avenue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Biuro Edukacji i Rzecznictwa Inwestorskiego</w:t>
      </w:r>
    </w:p>
    <w:p>
      <w:pPr xmlns:w="http://schemas.openxmlformats.org/wordprocessingml/2006/main">
        <w:ind w:left="380"/>
        <w:spacing w:after="0"/>
        <w:tabs>
          <w:tab w:leader="none" w:pos="522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Rockville, MD 20850-3329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100 F Street, Gdzie Indziej Niewymienione.</w:t>
      </w:r>
    </w:p>
    <w:p>
      <w:pPr xmlns:w="http://schemas.openxmlformats.org/wordprocessingml/2006/main">
        <w:ind w:left="380"/>
        <w:spacing w:after="0"/>
        <w:tabs>
          <w:tab w:leader="none" w:pos="522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Telefon: (240) 386- 4357 Faks: (866) 397-3290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Waszyngton, DC 20549-0213 Faks: (202) 772-9295</w:t>
      </w:r>
    </w:p>
    <w:p>
      <w:pPr>
        <w:spacing w:after="0" w:line="20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  <w:r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187325</wp:posOffset>
                </wp:positionV>
                <wp:extent cx="6786880" cy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68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6pt,14.75pt" to="540pt,14.75pt" o:allowincell="f" strokecolor="#000000" strokeweight="0.48pt"/>
            </w:pict>
          </mc:Fallback>
        </mc:AlternateContent>
      </w:r>
    </w:p>
    <w:p>
      <w:pPr>
        <w:spacing w:after="0" w:line="259" w:lineRule="exact"/>
        <w:rPr>
          <w:rFonts w:ascii="Calibri" w:cs="Calibri" w:eastAsia="Calibri" w:hAnsi="Calibri"/>
          <w:sz w:val="13"/>
          <w:szCs w:val="13"/>
          <w:b w:val="1"/>
          <w:bCs w:val="1"/>
          <w:u w:val="single" w:color="auto"/>
          <w:color w:val="auto"/>
          <w:highlight w:val="lightGray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680"/>
      </w:cols>
      <w:pgMar w:left="720" w:top="774" w:right="840" w:bottom="561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777B2E90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BBEC115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267209F4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2024-05-21T09:38:48Z</dcterms:created>
  <dcterms:modified xsi:type="dcterms:W3CDTF">2024-05-21T09:38:48Z</dcterms:modified>
</cp:coreProperties>
</file>